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727AE" w14:textId="77777777" w:rsidR="00072381" w:rsidRPr="00D32D52" w:rsidRDefault="00072381" w:rsidP="00037EF4">
      <w:pPr>
        <w:tabs>
          <w:tab w:val="center" w:pos="4860"/>
        </w:tabs>
        <w:suppressAutoHyphens/>
        <w:rPr>
          <w:rFonts w:ascii="Arial" w:hAnsi="Arial" w:cs="Arial"/>
          <w:b/>
          <w:szCs w:val="24"/>
        </w:rPr>
      </w:pPr>
    </w:p>
    <w:p w14:paraId="511A2D2E" w14:textId="77777777" w:rsidR="00CA5658" w:rsidRPr="00D32D52" w:rsidRDefault="00CA5658" w:rsidP="00037EF4">
      <w:pPr>
        <w:tabs>
          <w:tab w:val="center" w:pos="4860"/>
        </w:tabs>
        <w:suppressAutoHyphens/>
        <w:rPr>
          <w:rFonts w:ascii="Arial" w:hAnsi="Arial" w:cs="Arial"/>
          <w:b/>
          <w:szCs w:val="24"/>
        </w:rPr>
      </w:pPr>
    </w:p>
    <w:p w14:paraId="26300D5D" w14:textId="77777777" w:rsidR="00347513" w:rsidRPr="00D32D52" w:rsidRDefault="00347513" w:rsidP="00347513">
      <w:pPr>
        <w:rPr>
          <w:rFonts w:ascii="Arial" w:hAnsi="Arial" w:cs="Arial"/>
          <w:b/>
          <w:szCs w:val="24"/>
        </w:rPr>
      </w:pPr>
    </w:p>
    <w:p w14:paraId="0FE47C6E" w14:textId="4ABE3C6A" w:rsidR="00347513" w:rsidRPr="00D32D52" w:rsidRDefault="00BC533C" w:rsidP="00347513">
      <w:pPr>
        <w:rPr>
          <w:rFonts w:ascii="Arial" w:hAnsi="Arial" w:cs="Arial"/>
          <w:b/>
          <w:szCs w:val="24"/>
        </w:rPr>
      </w:pPr>
      <w:r>
        <w:rPr>
          <w:rFonts w:ascii="Arial" w:hAnsi="Arial" w:cs="Arial"/>
          <w:b/>
          <w:szCs w:val="24"/>
        </w:rPr>
        <w:t>37th</w:t>
      </w:r>
      <w:r w:rsidR="00347513" w:rsidRPr="00D32D52">
        <w:rPr>
          <w:rFonts w:ascii="Arial" w:hAnsi="Arial" w:cs="Arial"/>
          <w:b/>
          <w:szCs w:val="24"/>
        </w:rPr>
        <w:t xml:space="preserve"> U.S. </w:t>
      </w:r>
      <w:r>
        <w:rPr>
          <w:rFonts w:ascii="Arial" w:hAnsi="Arial" w:cs="Arial"/>
          <w:b/>
          <w:szCs w:val="24"/>
        </w:rPr>
        <w:t>SENIOR OPEN</w:t>
      </w:r>
      <w:r w:rsidR="00347513" w:rsidRPr="00D32D52">
        <w:rPr>
          <w:rFonts w:ascii="Arial" w:hAnsi="Arial" w:cs="Arial"/>
          <w:b/>
          <w:szCs w:val="24"/>
        </w:rPr>
        <w:t xml:space="preserve"> CHAMPIONSHIP – FIRST ROUND COURSE SET-UP NOTES</w:t>
      </w:r>
    </w:p>
    <w:p w14:paraId="4B86342B" w14:textId="77777777" w:rsidR="00347513" w:rsidRPr="00D32D52" w:rsidRDefault="00347513" w:rsidP="00347513">
      <w:pPr>
        <w:suppressAutoHyphens/>
        <w:rPr>
          <w:rFonts w:ascii="Arial" w:hAnsi="Arial" w:cs="Arial"/>
          <w:szCs w:val="24"/>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30"/>
        <w:gridCol w:w="900"/>
        <w:gridCol w:w="8622"/>
        <w:gridCol w:w="1238"/>
        <w:gridCol w:w="1238"/>
        <w:gridCol w:w="1238"/>
        <w:gridCol w:w="1238"/>
        <w:gridCol w:w="1238"/>
        <w:gridCol w:w="1238"/>
        <w:gridCol w:w="1238"/>
        <w:gridCol w:w="1238"/>
        <w:gridCol w:w="1238"/>
      </w:tblGrid>
      <w:tr w:rsidR="00D32D52" w:rsidRPr="00BC533C" w14:paraId="43AAC1A3" w14:textId="77777777" w:rsidTr="00D342A5">
        <w:trPr>
          <w:gridAfter w:val="9"/>
          <w:wAfter w:w="11142" w:type="dxa"/>
        </w:trPr>
        <w:tc>
          <w:tcPr>
            <w:tcW w:w="1098" w:type="dxa"/>
            <w:shd w:val="pct5" w:color="auto" w:fill="auto"/>
            <w:vAlign w:val="center"/>
          </w:tcPr>
          <w:p w14:paraId="768C35E7"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Hole</w:t>
            </w:r>
          </w:p>
        </w:tc>
        <w:tc>
          <w:tcPr>
            <w:tcW w:w="630" w:type="dxa"/>
            <w:shd w:val="pct5" w:color="auto" w:fill="auto"/>
            <w:vAlign w:val="center"/>
          </w:tcPr>
          <w:p w14:paraId="7BFCC86A"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Par</w:t>
            </w:r>
          </w:p>
        </w:tc>
        <w:tc>
          <w:tcPr>
            <w:tcW w:w="900" w:type="dxa"/>
            <w:shd w:val="pct5" w:color="auto" w:fill="auto"/>
            <w:vAlign w:val="center"/>
          </w:tcPr>
          <w:p w14:paraId="2BA1811F"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Yards</w:t>
            </w:r>
          </w:p>
        </w:tc>
        <w:tc>
          <w:tcPr>
            <w:tcW w:w="8622" w:type="dxa"/>
            <w:shd w:val="pct5" w:color="auto" w:fill="auto"/>
            <w:vAlign w:val="center"/>
          </w:tcPr>
          <w:p w14:paraId="6DE34A6A" w14:textId="6E981779" w:rsidR="00347513" w:rsidRPr="00BC533C" w:rsidRDefault="00347513" w:rsidP="00BC533C">
            <w:pPr>
              <w:widowControl w:val="0"/>
              <w:autoSpaceDE w:val="0"/>
              <w:autoSpaceDN w:val="0"/>
              <w:adjustRightInd w:val="0"/>
              <w:rPr>
                <w:rFonts w:ascii="Arial" w:hAnsi="Arial" w:cs="Arial"/>
                <w:sz w:val="22"/>
                <w:szCs w:val="22"/>
              </w:rPr>
            </w:pPr>
            <w:r w:rsidRPr="00BC533C">
              <w:rPr>
                <w:rFonts w:ascii="Arial" w:hAnsi="Arial" w:cs="Arial"/>
                <w:sz w:val="22"/>
                <w:szCs w:val="22"/>
              </w:rPr>
              <w:t xml:space="preserve">Set-Up Notes from </w:t>
            </w:r>
            <w:r w:rsidR="00BC533C" w:rsidRPr="00BC533C">
              <w:rPr>
                <w:rFonts w:ascii="Arial" w:hAnsi="Arial" w:cs="Arial"/>
                <w:sz w:val="22"/>
                <w:szCs w:val="22"/>
              </w:rPr>
              <w:t>Jeff Hall</w:t>
            </w:r>
          </w:p>
        </w:tc>
      </w:tr>
      <w:tr w:rsidR="00BC533C" w:rsidRPr="00BC533C" w14:paraId="497EB112" w14:textId="77777777" w:rsidTr="00D342A5">
        <w:trPr>
          <w:gridAfter w:val="9"/>
          <w:wAfter w:w="11142" w:type="dxa"/>
        </w:trPr>
        <w:tc>
          <w:tcPr>
            <w:tcW w:w="1098" w:type="dxa"/>
            <w:shd w:val="clear" w:color="auto" w:fill="auto"/>
          </w:tcPr>
          <w:p w14:paraId="08D3713F" w14:textId="7746CAF6"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w:t>
            </w:r>
          </w:p>
        </w:tc>
        <w:tc>
          <w:tcPr>
            <w:tcW w:w="630" w:type="dxa"/>
            <w:shd w:val="clear" w:color="auto" w:fill="auto"/>
          </w:tcPr>
          <w:p w14:paraId="32AC27FF" w14:textId="01B941BE"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11873EA0" w14:textId="33F14678"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424</w:t>
            </w:r>
          </w:p>
        </w:tc>
        <w:tc>
          <w:tcPr>
            <w:tcW w:w="8622" w:type="dxa"/>
            <w:shd w:val="clear" w:color="auto" w:fill="auto"/>
          </w:tcPr>
          <w:p w14:paraId="0C7A4390" w14:textId="2A1B815F"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The opening hole at Scioto can be a good birdie opportunity. Look for some players to play 3-woods from the tee to take the fairway bunkers left of the drive zone out of play. The hole played downwind Monday and Tuesday, but today’s SSW breeze is more typical and will be slightly against and from the player’s right. Today’s </w:t>
            </w:r>
            <w:proofErr w:type="gramStart"/>
            <w:r w:rsidRPr="00BC533C">
              <w:rPr>
                <w:rFonts w:ascii="Arial" w:hAnsi="Arial" w:cs="Arial"/>
              </w:rPr>
              <w:t>hole</w:t>
            </w:r>
            <w:proofErr w:type="gramEnd"/>
            <w:r w:rsidRPr="00BC533C">
              <w:rPr>
                <w:rFonts w:ascii="Arial" w:hAnsi="Arial" w:cs="Arial"/>
              </w:rPr>
              <w:t xml:space="preserve"> location (22-4R) is in the back-right portion of the green. </w:t>
            </w:r>
            <w:bookmarkStart w:id="0" w:name="_GoBack"/>
            <w:bookmarkEnd w:id="0"/>
            <w:r w:rsidRPr="00BC533C">
              <w:rPr>
                <w:rFonts w:ascii="Arial" w:hAnsi="Arial" w:cs="Arial"/>
              </w:rPr>
              <w:t>A miss right of this green will present a difficult recovery.</w:t>
            </w:r>
          </w:p>
        </w:tc>
      </w:tr>
      <w:tr w:rsidR="00BC533C" w:rsidRPr="00BC533C" w14:paraId="00EDCFAA" w14:textId="77777777" w:rsidTr="00D342A5">
        <w:trPr>
          <w:gridAfter w:val="8"/>
          <w:wAfter w:w="9904" w:type="dxa"/>
        </w:trPr>
        <w:tc>
          <w:tcPr>
            <w:tcW w:w="1098" w:type="dxa"/>
            <w:shd w:val="clear" w:color="auto" w:fill="auto"/>
          </w:tcPr>
          <w:p w14:paraId="1C5BDD80" w14:textId="7B1BD98F"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2</w:t>
            </w:r>
          </w:p>
        </w:tc>
        <w:tc>
          <w:tcPr>
            <w:tcW w:w="630" w:type="dxa"/>
            <w:shd w:val="clear" w:color="auto" w:fill="auto"/>
          </w:tcPr>
          <w:p w14:paraId="0B4D48CD" w14:textId="3342B22C"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2EEE9706" w14:textId="1E5D043E"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463</w:t>
            </w:r>
          </w:p>
        </w:tc>
        <w:tc>
          <w:tcPr>
            <w:tcW w:w="8622" w:type="dxa"/>
            <w:shd w:val="clear" w:color="auto" w:fill="auto"/>
          </w:tcPr>
          <w:p w14:paraId="12247DA6" w14:textId="3521B704"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One of the better driving holes on the golf course. The tee shot must carry 220 yards to reach the flat portion of the fairway. A very deep bunker located right of the drive zone that begins at 255 yards and extends to 290 yards must be avoided. Today’s back-center </w:t>
            </w:r>
            <w:proofErr w:type="gramStart"/>
            <w:r w:rsidRPr="00BC533C">
              <w:rPr>
                <w:rFonts w:ascii="Arial" w:hAnsi="Arial" w:cs="Arial"/>
              </w:rPr>
              <w:t>hole</w:t>
            </w:r>
            <w:proofErr w:type="gramEnd"/>
            <w:r w:rsidRPr="00BC533C">
              <w:rPr>
                <w:rFonts w:ascii="Arial" w:hAnsi="Arial" w:cs="Arial"/>
              </w:rPr>
              <w:t xml:space="preserve"> location (20-12CTR) is very accessible. This green slopes significantly from back to front and the back portion of the green can be used as a back stop to get the ball close to this </w:t>
            </w:r>
            <w:proofErr w:type="gramStart"/>
            <w:r w:rsidRPr="00BC533C">
              <w:rPr>
                <w:rFonts w:ascii="Arial" w:hAnsi="Arial" w:cs="Arial"/>
              </w:rPr>
              <w:t>hole</w:t>
            </w:r>
            <w:proofErr w:type="gramEnd"/>
            <w:r w:rsidRPr="00BC533C">
              <w:rPr>
                <w:rFonts w:ascii="Arial" w:hAnsi="Arial" w:cs="Arial"/>
              </w:rPr>
              <w:t xml:space="preserve"> location. A difficult hole, but I’d expect </w:t>
            </w:r>
            <w:proofErr w:type="gramStart"/>
            <w:r w:rsidRPr="00BC533C">
              <w:rPr>
                <w:rFonts w:ascii="Arial" w:hAnsi="Arial" w:cs="Arial"/>
              </w:rPr>
              <w:t>to  see</w:t>
            </w:r>
            <w:proofErr w:type="gramEnd"/>
            <w:r w:rsidRPr="00BC533C">
              <w:rPr>
                <w:rFonts w:ascii="Arial" w:hAnsi="Arial" w:cs="Arial"/>
              </w:rPr>
              <w:t xml:space="preserve"> a few birdies here today with this hole location.</w:t>
            </w:r>
          </w:p>
        </w:tc>
        <w:tc>
          <w:tcPr>
            <w:tcW w:w="1238" w:type="dxa"/>
            <w:shd w:val="clear" w:color="auto" w:fill="auto"/>
          </w:tcPr>
          <w:p w14:paraId="1CF51330"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r>
      <w:tr w:rsidR="00BC533C" w:rsidRPr="00BC533C" w14:paraId="6A5BEF3B" w14:textId="77777777" w:rsidTr="00D342A5">
        <w:trPr>
          <w:gridAfter w:val="9"/>
          <w:wAfter w:w="11142" w:type="dxa"/>
        </w:trPr>
        <w:tc>
          <w:tcPr>
            <w:tcW w:w="1098" w:type="dxa"/>
            <w:shd w:val="clear" w:color="auto" w:fill="auto"/>
          </w:tcPr>
          <w:p w14:paraId="3E445B37" w14:textId="735C6BFA"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3</w:t>
            </w:r>
          </w:p>
        </w:tc>
        <w:tc>
          <w:tcPr>
            <w:tcW w:w="630" w:type="dxa"/>
            <w:shd w:val="clear" w:color="auto" w:fill="auto"/>
          </w:tcPr>
          <w:p w14:paraId="5F6C1822" w14:textId="1CD59EC7"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50E6BCC6" w14:textId="0706FBBB"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389</w:t>
            </w:r>
          </w:p>
        </w:tc>
        <w:tc>
          <w:tcPr>
            <w:tcW w:w="8622" w:type="dxa"/>
            <w:shd w:val="clear" w:color="auto" w:fill="auto"/>
          </w:tcPr>
          <w:p w14:paraId="3EE4CB66" w14:textId="74F6F803"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One of the shorter par 4s at Scioto. I would expect to see many players lay up here with something other than driver. The fairway has a great deal of movement to it with the flat portion of the fairway coming at a point 235-255 yards off the tee. There is no intermediate (2.75”) rough along the fairway on this hole. Today’s </w:t>
            </w:r>
            <w:proofErr w:type="gramStart"/>
            <w:r w:rsidRPr="00BC533C">
              <w:rPr>
                <w:rFonts w:ascii="Arial" w:hAnsi="Arial" w:cs="Arial"/>
              </w:rPr>
              <w:t>hole</w:t>
            </w:r>
            <w:proofErr w:type="gramEnd"/>
            <w:r w:rsidRPr="00BC533C">
              <w:rPr>
                <w:rFonts w:ascii="Arial" w:hAnsi="Arial" w:cs="Arial"/>
              </w:rPr>
              <w:t xml:space="preserve"> location (20-6L) is in the lower, back portion of the green and on the left side of a ridge that runs from back to front and divides the green. A well-played stroke will finish on the proper level. Any shot that finishes right of the ridge will result in a challenging first putt.</w:t>
            </w:r>
          </w:p>
        </w:tc>
      </w:tr>
      <w:tr w:rsidR="00BC533C" w:rsidRPr="00BC533C" w14:paraId="5410C75B" w14:textId="77777777" w:rsidTr="00D342A5">
        <w:trPr>
          <w:gridAfter w:val="9"/>
          <w:wAfter w:w="11142" w:type="dxa"/>
        </w:trPr>
        <w:tc>
          <w:tcPr>
            <w:tcW w:w="1098" w:type="dxa"/>
            <w:shd w:val="clear" w:color="auto" w:fill="auto"/>
          </w:tcPr>
          <w:p w14:paraId="63F588D7" w14:textId="76DB76C1"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4</w:t>
            </w:r>
          </w:p>
        </w:tc>
        <w:tc>
          <w:tcPr>
            <w:tcW w:w="630" w:type="dxa"/>
            <w:shd w:val="clear" w:color="auto" w:fill="auto"/>
          </w:tcPr>
          <w:p w14:paraId="5D8F9B36" w14:textId="1100A2AF"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3</w:t>
            </w:r>
          </w:p>
        </w:tc>
        <w:tc>
          <w:tcPr>
            <w:tcW w:w="900" w:type="dxa"/>
            <w:shd w:val="clear" w:color="auto" w:fill="auto"/>
          </w:tcPr>
          <w:p w14:paraId="6942512A" w14:textId="6F90E2D9"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169</w:t>
            </w:r>
          </w:p>
        </w:tc>
        <w:tc>
          <w:tcPr>
            <w:tcW w:w="8622" w:type="dxa"/>
            <w:shd w:val="clear" w:color="auto" w:fill="auto"/>
          </w:tcPr>
          <w:p w14:paraId="30309D56" w14:textId="6775AA85"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We are matching up a forward teeing ground with a front-right </w:t>
            </w:r>
            <w:proofErr w:type="gramStart"/>
            <w:r w:rsidRPr="00BC533C">
              <w:rPr>
                <w:rFonts w:ascii="Arial" w:hAnsi="Arial" w:cs="Arial"/>
              </w:rPr>
              <w:t>hole</w:t>
            </w:r>
            <w:proofErr w:type="gramEnd"/>
            <w:r w:rsidRPr="00BC533C">
              <w:rPr>
                <w:rFonts w:ascii="Arial" w:hAnsi="Arial" w:cs="Arial"/>
              </w:rPr>
              <w:t xml:space="preserve"> location (9-4R) today. The hole is playing some 30 yards shorter than it has for the three practice days. A false front covers the first 5 yards of this putting green. Shots that travel long and right of this </w:t>
            </w:r>
            <w:proofErr w:type="gramStart"/>
            <w:r w:rsidRPr="00BC533C">
              <w:rPr>
                <w:rFonts w:ascii="Arial" w:hAnsi="Arial" w:cs="Arial"/>
              </w:rPr>
              <w:t>hole</w:t>
            </w:r>
            <w:proofErr w:type="gramEnd"/>
            <w:r w:rsidRPr="00BC533C">
              <w:rPr>
                <w:rFonts w:ascii="Arial" w:hAnsi="Arial" w:cs="Arial"/>
              </w:rPr>
              <w:t xml:space="preserve"> location will likely funnel off the green to the right because of the prominent side slope. This is the shortest this hole will play all week. This hole typically plays back into the prevailing breeze. </w:t>
            </w:r>
          </w:p>
        </w:tc>
      </w:tr>
      <w:tr w:rsidR="00BC533C" w:rsidRPr="00BC533C" w14:paraId="486B33DB" w14:textId="77777777" w:rsidTr="00D342A5">
        <w:trPr>
          <w:gridAfter w:val="9"/>
          <w:wAfter w:w="11142" w:type="dxa"/>
        </w:trPr>
        <w:tc>
          <w:tcPr>
            <w:tcW w:w="1098" w:type="dxa"/>
            <w:shd w:val="clear" w:color="auto" w:fill="auto"/>
          </w:tcPr>
          <w:p w14:paraId="22BCC31B" w14:textId="4C2F0E36"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5</w:t>
            </w:r>
          </w:p>
        </w:tc>
        <w:tc>
          <w:tcPr>
            <w:tcW w:w="630" w:type="dxa"/>
            <w:shd w:val="clear" w:color="auto" w:fill="auto"/>
          </w:tcPr>
          <w:p w14:paraId="3E959C81" w14:textId="0E12A1D1"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0CA1D576" w14:textId="7074EE28"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458</w:t>
            </w:r>
          </w:p>
        </w:tc>
        <w:tc>
          <w:tcPr>
            <w:tcW w:w="8622" w:type="dxa"/>
            <w:shd w:val="clear" w:color="auto" w:fill="auto"/>
          </w:tcPr>
          <w:p w14:paraId="3786C61E" w14:textId="6FF293F6"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A long par 4 on the score card that plays a bit shorter than its yardage. The combination of the downhill tee shot and the creek at the end of the fairway will likely result in many players playing something other than driver from the tee. This drive zone is unique in that there is a predominant slope both left and right that will funnel balls back into the fairway. The green sits up in the air and a pronounced ridge cuts across the middle of the green, separating the narrow front portion from the wider back portion of this green. Today’s </w:t>
            </w:r>
            <w:proofErr w:type="gramStart"/>
            <w:r w:rsidRPr="00BC533C">
              <w:rPr>
                <w:rFonts w:ascii="Arial" w:hAnsi="Arial" w:cs="Arial"/>
              </w:rPr>
              <w:t>hole</w:t>
            </w:r>
            <w:proofErr w:type="gramEnd"/>
            <w:r w:rsidRPr="00BC533C">
              <w:rPr>
                <w:rFonts w:ascii="Arial" w:hAnsi="Arial" w:cs="Arial"/>
              </w:rPr>
              <w:t xml:space="preserve"> location (24-10CTR) is one of the more accessible on this green.</w:t>
            </w:r>
          </w:p>
        </w:tc>
      </w:tr>
      <w:tr w:rsidR="00BC533C" w:rsidRPr="00BC533C" w14:paraId="7D6B61A0" w14:textId="77777777" w:rsidTr="00D342A5">
        <w:trPr>
          <w:gridAfter w:val="9"/>
          <w:wAfter w:w="11142" w:type="dxa"/>
        </w:trPr>
        <w:tc>
          <w:tcPr>
            <w:tcW w:w="1098" w:type="dxa"/>
            <w:shd w:val="clear" w:color="auto" w:fill="auto"/>
          </w:tcPr>
          <w:p w14:paraId="53B132EC" w14:textId="14DBCCC9"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6</w:t>
            </w:r>
          </w:p>
        </w:tc>
        <w:tc>
          <w:tcPr>
            <w:tcW w:w="630" w:type="dxa"/>
            <w:shd w:val="clear" w:color="auto" w:fill="auto"/>
          </w:tcPr>
          <w:p w14:paraId="4FFB63D2" w14:textId="30FA9970"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5</w:t>
            </w:r>
          </w:p>
        </w:tc>
        <w:tc>
          <w:tcPr>
            <w:tcW w:w="900" w:type="dxa"/>
            <w:shd w:val="clear" w:color="auto" w:fill="auto"/>
          </w:tcPr>
          <w:p w14:paraId="7A315231" w14:textId="763B4F28"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559</w:t>
            </w:r>
          </w:p>
        </w:tc>
        <w:tc>
          <w:tcPr>
            <w:tcW w:w="8622" w:type="dxa"/>
            <w:shd w:val="clear" w:color="auto" w:fill="auto"/>
          </w:tcPr>
          <w:p w14:paraId="512B1903" w14:textId="2DD5C7E0" w:rsidR="00BC533C" w:rsidRPr="00D342A5" w:rsidRDefault="00BC533C" w:rsidP="00BC533C">
            <w:pPr>
              <w:widowControl w:val="0"/>
              <w:autoSpaceDE w:val="0"/>
              <w:autoSpaceDN w:val="0"/>
              <w:adjustRightInd w:val="0"/>
              <w:rPr>
                <w:rFonts w:ascii="Arial" w:hAnsi="Arial" w:cs="Arial"/>
              </w:rPr>
            </w:pPr>
            <w:r w:rsidRPr="00BC533C">
              <w:rPr>
                <w:rFonts w:ascii="Arial" w:hAnsi="Arial" w:cs="Arial"/>
              </w:rPr>
              <w:t>The lone par 5 on the front nine provides a good birdie opportunity. Pl</w:t>
            </w:r>
            <w:r w:rsidRPr="00BC533C">
              <w:rPr>
                <w:rFonts w:ascii="Arial" w:hAnsi="Arial" w:cs="Arial"/>
              </w:rPr>
              <w:t xml:space="preserve">ayers will favor the right side </w:t>
            </w:r>
            <w:r w:rsidRPr="00BC533C">
              <w:rPr>
                <w:rFonts w:ascii="Arial" w:hAnsi="Arial" w:cs="Arial"/>
              </w:rPr>
              <w:t>of the fairway off the tee to insure they don’t get stymied by the tre</w:t>
            </w:r>
            <w:r w:rsidRPr="00BC533C">
              <w:rPr>
                <w:rFonts w:ascii="Arial" w:hAnsi="Arial" w:cs="Arial"/>
              </w:rPr>
              <w:t xml:space="preserve">es on the inside corner of this </w:t>
            </w:r>
            <w:r w:rsidRPr="00BC533C">
              <w:rPr>
                <w:rFonts w:ascii="Arial" w:hAnsi="Arial" w:cs="Arial"/>
              </w:rPr>
              <w:t>dogleg-left hole. Depending on conditions and the placement of t</w:t>
            </w:r>
            <w:r w:rsidRPr="00BC533C">
              <w:rPr>
                <w:rFonts w:ascii="Arial" w:hAnsi="Arial" w:cs="Arial"/>
              </w:rPr>
              <w:t xml:space="preserve">he tee shot, some of the longer </w:t>
            </w:r>
            <w:r w:rsidRPr="00BC533C">
              <w:rPr>
                <w:rFonts w:ascii="Arial" w:hAnsi="Arial" w:cs="Arial"/>
              </w:rPr>
              <w:t xml:space="preserve">players may be able to </w:t>
            </w:r>
            <w:r w:rsidRPr="00BC533C">
              <w:rPr>
                <w:rFonts w:ascii="Arial" w:hAnsi="Arial" w:cs="Arial"/>
              </w:rPr>
              <w:lastRenderedPageBreak/>
              <w:t>reach the green in two shots. Anothe</w:t>
            </w:r>
            <w:r w:rsidRPr="00BC533C">
              <w:rPr>
                <w:rFonts w:ascii="Arial" w:hAnsi="Arial" w:cs="Arial"/>
              </w:rPr>
              <w:t xml:space="preserve">r green with a pronounced slope </w:t>
            </w:r>
            <w:r w:rsidRPr="00BC533C">
              <w:rPr>
                <w:rFonts w:ascii="Arial" w:hAnsi="Arial" w:cs="Arial"/>
              </w:rPr>
              <w:t xml:space="preserve">separating the front and back portions of the putting surface. Today’s </w:t>
            </w:r>
            <w:r w:rsidR="00D342A5">
              <w:rPr>
                <w:rFonts w:ascii="Arial" w:hAnsi="Arial" w:cs="Arial"/>
              </w:rPr>
              <w:t xml:space="preserve">back-left hole location (20-4L) </w:t>
            </w:r>
            <w:r w:rsidRPr="00BC533C">
              <w:rPr>
                <w:rFonts w:ascii="Arial" w:hAnsi="Arial" w:cs="Arial"/>
              </w:rPr>
              <w:t>is approximately 4 paces beyond the slope and is in the widest portion of the green.</w:t>
            </w:r>
          </w:p>
        </w:tc>
      </w:tr>
      <w:tr w:rsidR="00BC533C" w:rsidRPr="00BC533C" w14:paraId="3873FB32" w14:textId="77777777" w:rsidTr="00D342A5">
        <w:trPr>
          <w:gridAfter w:val="9"/>
          <w:wAfter w:w="11142" w:type="dxa"/>
        </w:trPr>
        <w:tc>
          <w:tcPr>
            <w:tcW w:w="1098" w:type="dxa"/>
            <w:shd w:val="clear" w:color="auto" w:fill="auto"/>
          </w:tcPr>
          <w:p w14:paraId="1B8D39A7" w14:textId="4F8DF4F9"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lastRenderedPageBreak/>
              <w:t>7</w:t>
            </w:r>
          </w:p>
        </w:tc>
        <w:tc>
          <w:tcPr>
            <w:tcW w:w="630" w:type="dxa"/>
            <w:shd w:val="clear" w:color="auto" w:fill="auto"/>
          </w:tcPr>
          <w:p w14:paraId="13E97F55" w14:textId="4159466C"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7FC6942D" w14:textId="37DCECE0"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383</w:t>
            </w:r>
          </w:p>
        </w:tc>
        <w:tc>
          <w:tcPr>
            <w:tcW w:w="8622" w:type="dxa"/>
            <w:shd w:val="clear" w:color="auto" w:fill="auto"/>
          </w:tcPr>
          <w:p w14:paraId="002F7A50" w14:textId="667A3DB3"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Another good opportunity for birdie, but the fairway has a good deal of movement which will add to the degree of difficulty. I would expect many players to play something other than a driver from this tee. Today’s back-right hole location (20-8R) is very accessible, although a slope short and right of the hole as well as behind the location will add some difficulty to the putting. </w:t>
            </w:r>
          </w:p>
        </w:tc>
      </w:tr>
      <w:tr w:rsidR="00BC533C" w:rsidRPr="00BC533C" w14:paraId="588230DC" w14:textId="77777777" w:rsidTr="00D342A5">
        <w:trPr>
          <w:gridAfter w:val="9"/>
          <w:wAfter w:w="11142" w:type="dxa"/>
        </w:trPr>
        <w:tc>
          <w:tcPr>
            <w:tcW w:w="1098" w:type="dxa"/>
            <w:shd w:val="clear" w:color="auto" w:fill="auto"/>
          </w:tcPr>
          <w:p w14:paraId="5478867B" w14:textId="7E9DF44F"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8</w:t>
            </w:r>
          </w:p>
        </w:tc>
        <w:tc>
          <w:tcPr>
            <w:tcW w:w="630" w:type="dxa"/>
            <w:shd w:val="clear" w:color="auto" w:fill="auto"/>
          </w:tcPr>
          <w:p w14:paraId="2ECBF254" w14:textId="378631A1"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611C4B98" w14:textId="2D505D26"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498</w:t>
            </w:r>
          </w:p>
        </w:tc>
        <w:tc>
          <w:tcPr>
            <w:tcW w:w="8622" w:type="dxa"/>
            <w:shd w:val="clear" w:color="auto" w:fill="auto"/>
          </w:tcPr>
          <w:p w14:paraId="158CE036" w14:textId="7904A0A0"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Perhaps the most difficult hole on the golf course. We will be using the back tee today with a back-left hole location (22-7L) which should be the most accessible </w:t>
            </w:r>
            <w:proofErr w:type="gramStart"/>
            <w:r w:rsidRPr="00BC533C">
              <w:rPr>
                <w:rFonts w:ascii="Arial" w:hAnsi="Arial" w:cs="Arial"/>
              </w:rPr>
              <w:t>hole</w:t>
            </w:r>
            <w:proofErr w:type="gramEnd"/>
            <w:r w:rsidRPr="00BC533C">
              <w:rPr>
                <w:rFonts w:ascii="Arial" w:hAnsi="Arial" w:cs="Arial"/>
              </w:rPr>
              <w:t xml:space="preserve"> location on this green. There is a good deal more room to the left off the tee as the fairway shapes in that direction, but the tee shot is blind. A fairway bunker complex right of the drive zone begins at approximately 260 yards, but with the downhill nature of this tee shot, it will play nearly 10 yards shorter than that. With the water lurking to the left, I’d expect the expansive closely mown area that wraps around the right side of the green to be a popular spot for second shots. We have been very mindful of the type of second shot being played into this green and have been managing this green’s firmness accordingly.  </w:t>
            </w:r>
          </w:p>
        </w:tc>
      </w:tr>
      <w:tr w:rsidR="00BC533C" w:rsidRPr="00BC533C" w14:paraId="0E959A06" w14:textId="77777777" w:rsidTr="00D342A5">
        <w:trPr>
          <w:gridAfter w:val="9"/>
          <w:wAfter w:w="11142" w:type="dxa"/>
        </w:trPr>
        <w:tc>
          <w:tcPr>
            <w:tcW w:w="1098" w:type="dxa"/>
            <w:tcBorders>
              <w:bottom w:val="single" w:sz="4" w:space="0" w:color="auto"/>
            </w:tcBorders>
            <w:shd w:val="clear" w:color="auto" w:fill="auto"/>
          </w:tcPr>
          <w:p w14:paraId="15995F6F" w14:textId="09DB2D66"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9</w:t>
            </w:r>
          </w:p>
        </w:tc>
        <w:tc>
          <w:tcPr>
            <w:tcW w:w="630" w:type="dxa"/>
            <w:tcBorders>
              <w:bottom w:val="single" w:sz="4" w:space="0" w:color="auto"/>
            </w:tcBorders>
            <w:shd w:val="clear" w:color="auto" w:fill="auto"/>
          </w:tcPr>
          <w:p w14:paraId="37EEF44D" w14:textId="3D5EE46E"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3</w:t>
            </w:r>
          </w:p>
        </w:tc>
        <w:tc>
          <w:tcPr>
            <w:tcW w:w="900" w:type="dxa"/>
            <w:tcBorders>
              <w:bottom w:val="single" w:sz="4" w:space="0" w:color="auto"/>
            </w:tcBorders>
            <w:shd w:val="clear" w:color="auto" w:fill="auto"/>
          </w:tcPr>
          <w:p w14:paraId="651EF2AE" w14:textId="29380FCB"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144</w:t>
            </w:r>
          </w:p>
        </w:tc>
        <w:tc>
          <w:tcPr>
            <w:tcW w:w="8622" w:type="dxa"/>
            <w:tcBorders>
              <w:bottom w:val="single" w:sz="4" w:space="0" w:color="auto"/>
            </w:tcBorders>
            <w:shd w:val="clear" w:color="auto" w:fill="auto"/>
          </w:tcPr>
          <w:p w14:paraId="6F50ECB4" w14:textId="54788376"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We have located the tee markers on the forward portion of the back tee. This tee placement, coupled with a front-left </w:t>
            </w:r>
            <w:proofErr w:type="gramStart"/>
            <w:r w:rsidRPr="00BC533C">
              <w:rPr>
                <w:rFonts w:ascii="Arial" w:hAnsi="Arial" w:cs="Arial"/>
              </w:rPr>
              <w:t>hole</w:t>
            </w:r>
            <w:proofErr w:type="gramEnd"/>
            <w:r w:rsidRPr="00BC533C">
              <w:rPr>
                <w:rFonts w:ascii="Arial" w:hAnsi="Arial" w:cs="Arial"/>
              </w:rPr>
              <w:t xml:space="preserve"> location (4-4L) has the hole playing almost 20 yards shorter than it did during the practice rounds. Balls finishing beyond this </w:t>
            </w:r>
            <w:proofErr w:type="gramStart"/>
            <w:r w:rsidRPr="00BC533C">
              <w:rPr>
                <w:rFonts w:ascii="Arial" w:hAnsi="Arial" w:cs="Arial"/>
              </w:rPr>
              <w:t>hole</w:t>
            </w:r>
            <w:proofErr w:type="gramEnd"/>
            <w:r w:rsidRPr="00BC533C">
              <w:rPr>
                <w:rFonts w:ascii="Arial" w:hAnsi="Arial" w:cs="Arial"/>
              </w:rPr>
              <w:t xml:space="preserve"> location will be faced with a downhill putt. Making a par save from the left greenside bunker will be a challenging task! This hole plays back into the prevailing breeze.</w:t>
            </w:r>
          </w:p>
        </w:tc>
      </w:tr>
      <w:tr w:rsidR="00BC533C" w:rsidRPr="00BC533C" w14:paraId="48415C86" w14:textId="77777777" w:rsidTr="00D342A5">
        <w:trPr>
          <w:gridAfter w:val="9"/>
          <w:wAfter w:w="11142" w:type="dxa"/>
        </w:trPr>
        <w:tc>
          <w:tcPr>
            <w:tcW w:w="1098" w:type="dxa"/>
            <w:shd w:val="pct5" w:color="auto" w:fill="auto"/>
            <w:vAlign w:val="center"/>
          </w:tcPr>
          <w:p w14:paraId="1C42898F" w14:textId="77777777" w:rsidR="00BC533C" w:rsidRPr="00BC533C" w:rsidRDefault="00BC533C" w:rsidP="00D342A5">
            <w:pPr>
              <w:widowControl w:val="0"/>
              <w:autoSpaceDE w:val="0"/>
              <w:autoSpaceDN w:val="0"/>
              <w:adjustRightInd w:val="0"/>
              <w:rPr>
                <w:rFonts w:ascii="Arial" w:hAnsi="Arial" w:cs="Arial"/>
                <w:sz w:val="22"/>
                <w:szCs w:val="22"/>
              </w:rPr>
            </w:pPr>
            <w:r w:rsidRPr="00BC533C">
              <w:rPr>
                <w:rFonts w:ascii="Arial" w:hAnsi="Arial" w:cs="Arial"/>
                <w:b/>
                <w:bCs/>
                <w:sz w:val="22"/>
                <w:szCs w:val="22"/>
              </w:rPr>
              <w:t>TOTAL</w:t>
            </w:r>
          </w:p>
        </w:tc>
        <w:tc>
          <w:tcPr>
            <w:tcW w:w="630" w:type="dxa"/>
            <w:shd w:val="pct5" w:color="auto" w:fill="auto"/>
          </w:tcPr>
          <w:p w14:paraId="3FA40153" w14:textId="3153CDA7" w:rsidR="00BC533C" w:rsidRPr="00D342A5" w:rsidRDefault="00BC533C" w:rsidP="00D342A5">
            <w:pPr>
              <w:widowControl w:val="0"/>
              <w:autoSpaceDE w:val="0"/>
              <w:autoSpaceDN w:val="0"/>
              <w:adjustRightInd w:val="0"/>
              <w:rPr>
                <w:rFonts w:ascii="Arial" w:hAnsi="Arial" w:cs="Arial"/>
                <w:b/>
                <w:sz w:val="22"/>
                <w:szCs w:val="22"/>
              </w:rPr>
            </w:pPr>
            <w:r w:rsidRPr="00D342A5">
              <w:rPr>
                <w:rFonts w:ascii="Arial" w:hAnsi="Arial" w:cs="Arial"/>
                <w:b/>
              </w:rPr>
              <w:t>35</w:t>
            </w:r>
          </w:p>
        </w:tc>
        <w:tc>
          <w:tcPr>
            <w:tcW w:w="900" w:type="dxa"/>
            <w:shd w:val="pct5" w:color="auto" w:fill="auto"/>
          </w:tcPr>
          <w:p w14:paraId="11D3A6D8" w14:textId="2383FF2F" w:rsidR="00BC533C" w:rsidRPr="00D342A5" w:rsidRDefault="00BC533C" w:rsidP="00D342A5">
            <w:pPr>
              <w:widowControl w:val="0"/>
              <w:autoSpaceDE w:val="0"/>
              <w:autoSpaceDN w:val="0"/>
              <w:adjustRightInd w:val="0"/>
              <w:rPr>
                <w:rFonts w:ascii="Arial" w:hAnsi="Arial" w:cs="Arial"/>
                <w:b/>
                <w:sz w:val="22"/>
                <w:szCs w:val="22"/>
              </w:rPr>
            </w:pPr>
            <w:r w:rsidRPr="00D342A5">
              <w:rPr>
                <w:rFonts w:ascii="Arial" w:hAnsi="Arial" w:cs="Arial"/>
                <w:b/>
              </w:rPr>
              <w:t>3,487</w:t>
            </w:r>
          </w:p>
        </w:tc>
        <w:tc>
          <w:tcPr>
            <w:tcW w:w="8622" w:type="dxa"/>
            <w:shd w:val="pct5" w:color="auto" w:fill="auto"/>
            <w:vAlign w:val="center"/>
          </w:tcPr>
          <w:p w14:paraId="7FB47033"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r>
      <w:tr w:rsidR="00BC533C" w:rsidRPr="00BC533C" w14:paraId="3E599FA3" w14:textId="77777777" w:rsidTr="00D342A5">
        <w:trPr>
          <w:gridAfter w:val="9"/>
          <w:wAfter w:w="11142" w:type="dxa"/>
        </w:trPr>
        <w:tc>
          <w:tcPr>
            <w:tcW w:w="1098" w:type="dxa"/>
            <w:shd w:val="clear" w:color="auto" w:fill="auto"/>
          </w:tcPr>
          <w:p w14:paraId="0E874E3C" w14:textId="2C270A8C"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10</w:t>
            </w:r>
          </w:p>
        </w:tc>
        <w:tc>
          <w:tcPr>
            <w:tcW w:w="630" w:type="dxa"/>
            <w:shd w:val="clear" w:color="auto" w:fill="auto"/>
          </w:tcPr>
          <w:p w14:paraId="77D10732" w14:textId="6DEFCE56"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290DFA3C" w14:textId="579C32EC"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423</w:t>
            </w:r>
          </w:p>
        </w:tc>
        <w:tc>
          <w:tcPr>
            <w:tcW w:w="8622" w:type="dxa"/>
            <w:shd w:val="clear" w:color="auto" w:fill="auto"/>
          </w:tcPr>
          <w:p w14:paraId="18458706" w14:textId="0CCE3109"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This hole will provide a good birdie opportunity in Round 1. The tee shot is played into one of the narrower fairways at Scioto. The drive zone is protected on the right by a single fairway bunker that starts at 245 yards from the tee and extends to 270 yards. The fairway is flat to a point about 285 yards before it falls off and to the right. Today’s middle-right hole location (18-9R) is very accessible, but a </w:t>
            </w:r>
            <w:proofErr w:type="spellStart"/>
            <w:r w:rsidRPr="00BC533C">
              <w:rPr>
                <w:rFonts w:ascii="Arial" w:hAnsi="Arial" w:cs="Arial"/>
              </w:rPr>
              <w:t>dropoff</w:t>
            </w:r>
            <w:proofErr w:type="spellEnd"/>
            <w:r w:rsidRPr="00BC533C">
              <w:rPr>
                <w:rFonts w:ascii="Arial" w:hAnsi="Arial" w:cs="Arial"/>
              </w:rPr>
              <w:t xml:space="preserve"> that is not much more than 6 feet left of the hole will take the ball down into a bowl-like feature on the left side of this green. A second shot played short and right of this </w:t>
            </w:r>
            <w:proofErr w:type="gramStart"/>
            <w:r w:rsidRPr="00BC533C">
              <w:rPr>
                <w:rFonts w:ascii="Arial" w:hAnsi="Arial" w:cs="Arial"/>
              </w:rPr>
              <w:t>hole</w:t>
            </w:r>
            <w:proofErr w:type="gramEnd"/>
            <w:r w:rsidRPr="00BC533C">
              <w:rPr>
                <w:rFonts w:ascii="Arial" w:hAnsi="Arial" w:cs="Arial"/>
              </w:rPr>
              <w:t xml:space="preserve"> location will result in a very good birdie chance. </w:t>
            </w:r>
          </w:p>
        </w:tc>
      </w:tr>
      <w:tr w:rsidR="00BC533C" w:rsidRPr="00BC533C" w14:paraId="7D70ED9F" w14:textId="77777777" w:rsidTr="00D342A5">
        <w:trPr>
          <w:gridAfter w:val="6"/>
          <w:wAfter w:w="7428" w:type="dxa"/>
        </w:trPr>
        <w:tc>
          <w:tcPr>
            <w:tcW w:w="1098" w:type="dxa"/>
            <w:shd w:val="clear" w:color="auto" w:fill="auto"/>
          </w:tcPr>
          <w:p w14:paraId="0F4DFB5F" w14:textId="78CE6FC6"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11</w:t>
            </w:r>
          </w:p>
        </w:tc>
        <w:tc>
          <w:tcPr>
            <w:tcW w:w="630" w:type="dxa"/>
            <w:shd w:val="clear" w:color="auto" w:fill="auto"/>
          </w:tcPr>
          <w:p w14:paraId="3DB1261B" w14:textId="60342357"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500FB54C" w14:textId="72B54E47"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391</w:t>
            </w:r>
          </w:p>
        </w:tc>
        <w:tc>
          <w:tcPr>
            <w:tcW w:w="8622" w:type="dxa"/>
            <w:shd w:val="clear" w:color="auto" w:fill="auto"/>
          </w:tcPr>
          <w:p w14:paraId="3CBF3EF5" w14:textId="77777777" w:rsidR="00BC533C" w:rsidRPr="00BC533C" w:rsidRDefault="00BC533C" w:rsidP="00BC533C">
            <w:pPr>
              <w:widowControl w:val="0"/>
              <w:autoSpaceDE w:val="0"/>
              <w:autoSpaceDN w:val="0"/>
              <w:adjustRightInd w:val="0"/>
              <w:rPr>
                <w:rFonts w:ascii="Arial" w:hAnsi="Arial" w:cs="Arial"/>
              </w:rPr>
            </w:pPr>
            <w:r w:rsidRPr="00BC533C">
              <w:rPr>
                <w:rFonts w:ascii="Arial" w:hAnsi="Arial" w:cs="Arial"/>
              </w:rPr>
              <w:t>Good driving hole, although some players may choose to not use a driver. The</w:t>
            </w:r>
          </w:p>
          <w:p w14:paraId="0FDF0B28" w14:textId="77777777" w:rsidR="00BC533C" w:rsidRPr="00BC533C" w:rsidRDefault="00BC533C" w:rsidP="00BC533C">
            <w:pPr>
              <w:widowControl w:val="0"/>
              <w:autoSpaceDE w:val="0"/>
              <w:autoSpaceDN w:val="0"/>
              <w:adjustRightInd w:val="0"/>
              <w:rPr>
                <w:rFonts w:ascii="Arial" w:hAnsi="Arial" w:cs="Arial"/>
              </w:rPr>
            </w:pPr>
            <w:r w:rsidRPr="00BC533C">
              <w:rPr>
                <w:rFonts w:ascii="Arial" w:hAnsi="Arial" w:cs="Arial"/>
              </w:rPr>
              <w:t>fairway begins to slope downhill and to the left at the 250-yard mark from the</w:t>
            </w:r>
          </w:p>
          <w:p w14:paraId="101A6D87" w14:textId="2789F9D0" w:rsidR="00BC533C" w:rsidRPr="00BC533C" w:rsidRDefault="00BC533C" w:rsidP="00BC533C">
            <w:pPr>
              <w:widowControl w:val="0"/>
              <w:autoSpaceDE w:val="0"/>
              <w:autoSpaceDN w:val="0"/>
              <w:adjustRightInd w:val="0"/>
              <w:rPr>
                <w:rFonts w:ascii="Arial" w:hAnsi="Arial" w:cs="Arial"/>
              </w:rPr>
            </w:pPr>
            <w:proofErr w:type="gramStart"/>
            <w:r w:rsidRPr="00BC533C">
              <w:rPr>
                <w:rFonts w:ascii="Arial" w:hAnsi="Arial" w:cs="Arial"/>
              </w:rPr>
              <w:t>tee</w:t>
            </w:r>
            <w:proofErr w:type="gramEnd"/>
            <w:r w:rsidRPr="00BC533C">
              <w:rPr>
                <w:rFonts w:ascii="Arial" w:hAnsi="Arial" w:cs="Arial"/>
              </w:rPr>
              <w:t xml:space="preserve"> before it before it bottoms out at the 275-yard m</w:t>
            </w:r>
            <w:r w:rsidR="00D342A5">
              <w:rPr>
                <w:rFonts w:ascii="Arial" w:hAnsi="Arial" w:cs="Arial"/>
              </w:rPr>
              <w:t xml:space="preserve">ark.  Today’s hole location is </w:t>
            </w:r>
            <w:r w:rsidRPr="00BC533C">
              <w:rPr>
                <w:rFonts w:ascii="Arial" w:hAnsi="Arial" w:cs="Arial"/>
              </w:rPr>
              <w:t>front left (9-3L). There is a shoulder in the green behind this location that</w:t>
            </w:r>
          </w:p>
          <w:p w14:paraId="60E88E43" w14:textId="77777777" w:rsidR="00BC533C" w:rsidRPr="00BC533C" w:rsidRDefault="00BC533C" w:rsidP="00BC533C">
            <w:pPr>
              <w:widowControl w:val="0"/>
              <w:autoSpaceDE w:val="0"/>
              <w:autoSpaceDN w:val="0"/>
              <w:adjustRightInd w:val="0"/>
              <w:rPr>
                <w:rFonts w:ascii="Arial" w:hAnsi="Arial" w:cs="Arial"/>
              </w:rPr>
            </w:pPr>
            <w:proofErr w:type="gramStart"/>
            <w:r w:rsidRPr="00BC533C">
              <w:rPr>
                <w:rFonts w:ascii="Arial" w:hAnsi="Arial" w:cs="Arial"/>
              </w:rPr>
              <w:t>players</w:t>
            </w:r>
            <w:proofErr w:type="gramEnd"/>
            <w:r w:rsidRPr="00BC533C">
              <w:rPr>
                <w:rFonts w:ascii="Arial" w:hAnsi="Arial" w:cs="Arial"/>
              </w:rPr>
              <w:t xml:space="preserve"> can use to get the ball close. A large closely mown area left of the</w:t>
            </w:r>
          </w:p>
          <w:p w14:paraId="05AAF623" w14:textId="54A67F59" w:rsidR="00BC533C" w:rsidRPr="00BC533C" w:rsidRDefault="00BC533C" w:rsidP="00BC533C">
            <w:pPr>
              <w:widowControl w:val="0"/>
              <w:autoSpaceDE w:val="0"/>
              <w:autoSpaceDN w:val="0"/>
              <w:adjustRightInd w:val="0"/>
              <w:rPr>
                <w:rFonts w:ascii="Arial" w:eastAsia="Calibri" w:hAnsi="Arial" w:cs="Arial"/>
                <w:sz w:val="22"/>
                <w:szCs w:val="22"/>
              </w:rPr>
            </w:pPr>
            <w:proofErr w:type="gramStart"/>
            <w:r w:rsidRPr="00BC533C">
              <w:rPr>
                <w:rFonts w:ascii="Arial" w:hAnsi="Arial" w:cs="Arial"/>
              </w:rPr>
              <w:t>green</w:t>
            </w:r>
            <w:proofErr w:type="gramEnd"/>
            <w:r w:rsidRPr="00BC533C">
              <w:rPr>
                <w:rFonts w:ascii="Arial" w:hAnsi="Arial" w:cs="Arial"/>
              </w:rPr>
              <w:t xml:space="preserve"> will  present a challenging recovery to this left hole location.</w:t>
            </w:r>
          </w:p>
        </w:tc>
        <w:tc>
          <w:tcPr>
            <w:tcW w:w="1238" w:type="dxa"/>
            <w:shd w:val="clear" w:color="auto" w:fill="auto"/>
          </w:tcPr>
          <w:p w14:paraId="0AB141CF"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4D36524D"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38004557"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r>
      <w:tr w:rsidR="00BC533C" w:rsidRPr="00BC533C" w14:paraId="3F26EC27" w14:textId="77777777" w:rsidTr="00D342A5">
        <w:trPr>
          <w:gridAfter w:val="9"/>
          <w:wAfter w:w="11142" w:type="dxa"/>
        </w:trPr>
        <w:tc>
          <w:tcPr>
            <w:tcW w:w="1098" w:type="dxa"/>
            <w:shd w:val="clear" w:color="auto" w:fill="auto"/>
          </w:tcPr>
          <w:p w14:paraId="7058F6DA" w14:textId="173E9D41"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12</w:t>
            </w:r>
          </w:p>
        </w:tc>
        <w:tc>
          <w:tcPr>
            <w:tcW w:w="630" w:type="dxa"/>
            <w:shd w:val="clear" w:color="auto" w:fill="auto"/>
          </w:tcPr>
          <w:p w14:paraId="20030069" w14:textId="67DE0A2F"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5</w:t>
            </w:r>
          </w:p>
        </w:tc>
        <w:tc>
          <w:tcPr>
            <w:tcW w:w="900" w:type="dxa"/>
            <w:shd w:val="clear" w:color="auto" w:fill="auto"/>
          </w:tcPr>
          <w:p w14:paraId="2E336F52" w14:textId="5943CAC9"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543</w:t>
            </w:r>
          </w:p>
        </w:tc>
        <w:tc>
          <w:tcPr>
            <w:tcW w:w="8622" w:type="dxa"/>
            <w:shd w:val="clear" w:color="auto" w:fill="auto"/>
          </w:tcPr>
          <w:p w14:paraId="064278F4" w14:textId="35E97995"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This par 5 will be a three-shot hole for most in the field. The longest drivers can possibly get their tee shot nearly to the top of the hill affording them a bit better view. The second shot is blind. We saw players working hard to identify an aiming point throughout the practice rounds. This putting green is long and narrow and today features a middle-left </w:t>
            </w:r>
            <w:proofErr w:type="gramStart"/>
            <w:r w:rsidRPr="00BC533C">
              <w:rPr>
                <w:rFonts w:ascii="Arial" w:hAnsi="Arial" w:cs="Arial"/>
              </w:rPr>
              <w:t>hole</w:t>
            </w:r>
            <w:proofErr w:type="gramEnd"/>
            <w:r w:rsidRPr="00BC533C">
              <w:rPr>
                <w:rFonts w:ascii="Arial" w:hAnsi="Arial" w:cs="Arial"/>
              </w:rPr>
              <w:t xml:space="preserve"> location (17-4L). There is a small knob short and right and a similar knob a bit farther behind this </w:t>
            </w:r>
            <w:proofErr w:type="gramStart"/>
            <w:r w:rsidRPr="00BC533C">
              <w:rPr>
                <w:rFonts w:ascii="Arial" w:hAnsi="Arial" w:cs="Arial"/>
              </w:rPr>
              <w:t>hole</w:t>
            </w:r>
            <w:proofErr w:type="gramEnd"/>
            <w:r w:rsidRPr="00BC533C">
              <w:rPr>
                <w:rFonts w:ascii="Arial" w:hAnsi="Arial" w:cs="Arial"/>
              </w:rPr>
              <w:t xml:space="preserve"> location. Both will have an impact on putting. There is a good chance that this hole will play to an under-par stroke average this week.</w:t>
            </w:r>
          </w:p>
        </w:tc>
      </w:tr>
      <w:tr w:rsidR="00BC533C" w:rsidRPr="00BC533C" w14:paraId="1DDBB2C2" w14:textId="77777777" w:rsidTr="00D342A5">
        <w:trPr>
          <w:gridAfter w:val="9"/>
          <w:wAfter w:w="11142" w:type="dxa"/>
        </w:trPr>
        <w:tc>
          <w:tcPr>
            <w:tcW w:w="1098" w:type="dxa"/>
            <w:shd w:val="clear" w:color="auto" w:fill="auto"/>
          </w:tcPr>
          <w:p w14:paraId="533E60E5" w14:textId="296B5F5F"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13</w:t>
            </w:r>
          </w:p>
        </w:tc>
        <w:tc>
          <w:tcPr>
            <w:tcW w:w="630" w:type="dxa"/>
            <w:shd w:val="clear" w:color="auto" w:fill="auto"/>
          </w:tcPr>
          <w:p w14:paraId="1B180B08" w14:textId="1FCC1B3D"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046C0395" w14:textId="7E7332C2"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478</w:t>
            </w:r>
          </w:p>
        </w:tc>
        <w:tc>
          <w:tcPr>
            <w:tcW w:w="8622" w:type="dxa"/>
            <w:shd w:val="clear" w:color="auto" w:fill="auto"/>
          </w:tcPr>
          <w:p w14:paraId="3ED21E28" w14:textId="5C211DD1"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We are using the primary, back tee today with a middle-left </w:t>
            </w:r>
            <w:proofErr w:type="gramStart"/>
            <w:r w:rsidRPr="00BC533C">
              <w:rPr>
                <w:rFonts w:ascii="Arial" w:hAnsi="Arial" w:cs="Arial"/>
              </w:rPr>
              <w:t>hole</w:t>
            </w:r>
            <w:proofErr w:type="gramEnd"/>
            <w:r w:rsidRPr="00BC533C">
              <w:rPr>
                <w:rFonts w:ascii="Arial" w:hAnsi="Arial" w:cs="Arial"/>
              </w:rPr>
              <w:t xml:space="preserve"> location (21-</w:t>
            </w:r>
            <w:r w:rsidRPr="00BC533C">
              <w:rPr>
                <w:rFonts w:ascii="Arial" w:hAnsi="Arial" w:cs="Arial"/>
              </w:rPr>
              <w:lastRenderedPageBreak/>
              <w:t xml:space="preserve">5L). One of the stronger par 4s on the golf course. The right-side drive zone bunker is clearly in play. The bunker on the left side is probably out of reach for most players in the field. The green is the largest at Scioto and slopes from back to front, making it pretty receptive. The portion of the green where today’s hole is located slopes gently from left to right and moving the ball away from the </w:t>
            </w:r>
            <w:proofErr w:type="gramStart"/>
            <w:r w:rsidRPr="00BC533C">
              <w:rPr>
                <w:rFonts w:ascii="Arial" w:hAnsi="Arial" w:cs="Arial"/>
              </w:rPr>
              <w:t>hole</w:t>
            </w:r>
            <w:proofErr w:type="gramEnd"/>
            <w:r w:rsidRPr="00BC533C">
              <w:rPr>
                <w:rFonts w:ascii="Arial" w:hAnsi="Arial" w:cs="Arial"/>
              </w:rPr>
              <w:t xml:space="preserve"> location.</w:t>
            </w:r>
          </w:p>
        </w:tc>
      </w:tr>
      <w:tr w:rsidR="00BC533C" w:rsidRPr="00BC533C" w14:paraId="0F407475" w14:textId="77777777" w:rsidTr="00D342A5">
        <w:trPr>
          <w:gridAfter w:val="9"/>
          <w:wAfter w:w="11142" w:type="dxa"/>
        </w:trPr>
        <w:tc>
          <w:tcPr>
            <w:tcW w:w="1098" w:type="dxa"/>
            <w:shd w:val="clear" w:color="auto" w:fill="auto"/>
          </w:tcPr>
          <w:p w14:paraId="1065883B" w14:textId="662F1919"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lastRenderedPageBreak/>
              <w:t>14</w:t>
            </w:r>
          </w:p>
        </w:tc>
        <w:tc>
          <w:tcPr>
            <w:tcW w:w="630" w:type="dxa"/>
            <w:shd w:val="clear" w:color="auto" w:fill="auto"/>
          </w:tcPr>
          <w:p w14:paraId="22280B6A" w14:textId="0F595B59"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3</w:t>
            </w:r>
          </w:p>
        </w:tc>
        <w:tc>
          <w:tcPr>
            <w:tcW w:w="900" w:type="dxa"/>
            <w:shd w:val="clear" w:color="auto" w:fill="auto"/>
          </w:tcPr>
          <w:p w14:paraId="754A9C06" w14:textId="3C1AA5B1"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200</w:t>
            </w:r>
          </w:p>
        </w:tc>
        <w:tc>
          <w:tcPr>
            <w:tcW w:w="8622" w:type="dxa"/>
            <w:shd w:val="clear" w:color="auto" w:fill="auto"/>
          </w:tcPr>
          <w:p w14:paraId="4A508D10" w14:textId="44B38DE9"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The longest par 3 on the golf course, but it will play quite a bit shorter than the scorecard yardage of 230 yards. We are using the 205 tee today to a middle-right </w:t>
            </w:r>
            <w:proofErr w:type="gramStart"/>
            <w:r w:rsidRPr="00BC533C">
              <w:rPr>
                <w:rFonts w:ascii="Arial" w:hAnsi="Arial" w:cs="Arial"/>
              </w:rPr>
              <w:t>hole</w:t>
            </w:r>
            <w:proofErr w:type="gramEnd"/>
            <w:r w:rsidRPr="00BC533C">
              <w:rPr>
                <w:rFonts w:ascii="Arial" w:hAnsi="Arial" w:cs="Arial"/>
              </w:rPr>
              <w:t xml:space="preserve"> location (18-9R). Today’s breeze will be from right to left and slightly against. One of the flatter greens on the course. </w:t>
            </w:r>
          </w:p>
        </w:tc>
      </w:tr>
      <w:tr w:rsidR="00BC533C" w:rsidRPr="00BC533C" w14:paraId="66C9A8D9" w14:textId="77777777" w:rsidTr="00D342A5">
        <w:trPr>
          <w:gridAfter w:val="9"/>
          <w:wAfter w:w="11142" w:type="dxa"/>
        </w:trPr>
        <w:tc>
          <w:tcPr>
            <w:tcW w:w="1098" w:type="dxa"/>
            <w:shd w:val="clear" w:color="auto" w:fill="auto"/>
          </w:tcPr>
          <w:p w14:paraId="36C07795" w14:textId="70201214"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15</w:t>
            </w:r>
          </w:p>
        </w:tc>
        <w:tc>
          <w:tcPr>
            <w:tcW w:w="630" w:type="dxa"/>
            <w:shd w:val="clear" w:color="auto" w:fill="auto"/>
          </w:tcPr>
          <w:p w14:paraId="10B8691F" w14:textId="6FA8E728"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0DA58383" w14:textId="797B8802"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441</w:t>
            </w:r>
          </w:p>
        </w:tc>
        <w:tc>
          <w:tcPr>
            <w:tcW w:w="8622" w:type="dxa"/>
            <w:shd w:val="clear" w:color="auto" w:fill="auto"/>
          </w:tcPr>
          <w:p w14:paraId="21B2E360" w14:textId="76B8745C"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A solid par 4. The positioning of the tee shot can be critical to successfully playing this hole. The bunker on the inside corner of this left-to-right dogleg must be avoided. There is ample room on the left side of this fairway (40 yards wide at the 172-yard sprinkler) but it makes the second shot play a bit longer. Today’s hole location (13-5L) is positioned on a plateau in the middle portion of this green. </w:t>
            </w:r>
          </w:p>
        </w:tc>
      </w:tr>
      <w:tr w:rsidR="00BC533C" w:rsidRPr="00BC533C" w14:paraId="4187D3FD" w14:textId="77777777" w:rsidTr="00D342A5">
        <w:trPr>
          <w:gridAfter w:val="9"/>
          <w:wAfter w:w="11142" w:type="dxa"/>
        </w:trPr>
        <w:tc>
          <w:tcPr>
            <w:tcW w:w="1098" w:type="dxa"/>
            <w:shd w:val="clear" w:color="auto" w:fill="auto"/>
          </w:tcPr>
          <w:p w14:paraId="615F77E7" w14:textId="64D62B67"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16</w:t>
            </w:r>
          </w:p>
        </w:tc>
        <w:tc>
          <w:tcPr>
            <w:tcW w:w="630" w:type="dxa"/>
            <w:shd w:val="clear" w:color="auto" w:fill="auto"/>
          </w:tcPr>
          <w:p w14:paraId="2687C86A" w14:textId="06399C3B"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shd w:val="clear" w:color="auto" w:fill="auto"/>
          </w:tcPr>
          <w:p w14:paraId="422048C6" w14:textId="72C9C71E"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434</w:t>
            </w:r>
          </w:p>
        </w:tc>
        <w:tc>
          <w:tcPr>
            <w:tcW w:w="8622" w:type="dxa"/>
            <w:shd w:val="clear" w:color="auto" w:fill="auto"/>
          </w:tcPr>
          <w:p w14:paraId="6B94AB98" w14:textId="18763206"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A hole where playing from the fairway is imperative. We might see a variety of clubs played from the tee. There are two plateaus in this fairway. The first finishes at a point 250 yards from the tee and the second runs from the 280-295 yard mark from the tee. The green sits up in the air and is well protected in front by two bunkers and a false front. Today’s </w:t>
            </w:r>
            <w:proofErr w:type="gramStart"/>
            <w:r w:rsidRPr="00BC533C">
              <w:rPr>
                <w:rFonts w:ascii="Arial" w:hAnsi="Arial" w:cs="Arial"/>
              </w:rPr>
              <w:t>hole</w:t>
            </w:r>
            <w:proofErr w:type="gramEnd"/>
            <w:r w:rsidRPr="00BC533C">
              <w:rPr>
                <w:rFonts w:ascii="Arial" w:hAnsi="Arial" w:cs="Arial"/>
              </w:rPr>
              <w:t xml:space="preserve"> location (25-10R) is in the very back of the green between two shoulders and brings the closely mown area over this green into play. This is an accessible </w:t>
            </w:r>
            <w:proofErr w:type="gramStart"/>
            <w:r w:rsidRPr="00BC533C">
              <w:rPr>
                <w:rFonts w:ascii="Arial" w:hAnsi="Arial" w:cs="Arial"/>
              </w:rPr>
              <w:t>hole</w:t>
            </w:r>
            <w:proofErr w:type="gramEnd"/>
            <w:r w:rsidRPr="00BC533C">
              <w:rPr>
                <w:rFonts w:ascii="Arial" w:hAnsi="Arial" w:cs="Arial"/>
              </w:rPr>
              <w:t xml:space="preserve"> location with the proper distance control.</w:t>
            </w:r>
          </w:p>
        </w:tc>
      </w:tr>
      <w:tr w:rsidR="00BC533C" w:rsidRPr="00BC533C" w14:paraId="5328235F" w14:textId="77777777" w:rsidTr="00D342A5">
        <w:trPr>
          <w:gridAfter w:val="9"/>
          <w:wAfter w:w="11142" w:type="dxa"/>
        </w:trPr>
        <w:tc>
          <w:tcPr>
            <w:tcW w:w="1098" w:type="dxa"/>
            <w:shd w:val="clear" w:color="auto" w:fill="auto"/>
          </w:tcPr>
          <w:p w14:paraId="12DC6ECC" w14:textId="7F865D48"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17</w:t>
            </w:r>
          </w:p>
        </w:tc>
        <w:tc>
          <w:tcPr>
            <w:tcW w:w="630" w:type="dxa"/>
            <w:shd w:val="clear" w:color="auto" w:fill="auto"/>
          </w:tcPr>
          <w:p w14:paraId="2D935271" w14:textId="2F9870F8"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3</w:t>
            </w:r>
          </w:p>
        </w:tc>
        <w:tc>
          <w:tcPr>
            <w:tcW w:w="900" w:type="dxa"/>
            <w:shd w:val="clear" w:color="auto" w:fill="auto"/>
          </w:tcPr>
          <w:p w14:paraId="07CE73B9" w14:textId="5E64F514"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192</w:t>
            </w:r>
          </w:p>
        </w:tc>
        <w:tc>
          <w:tcPr>
            <w:tcW w:w="8622" w:type="dxa"/>
            <w:shd w:val="clear" w:color="auto" w:fill="auto"/>
          </w:tcPr>
          <w:p w14:paraId="163A3C4D" w14:textId="3C44E2F0"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We are using the 187 tee today with a back-left </w:t>
            </w:r>
            <w:proofErr w:type="gramStart"/>
            <w:r w:rsidRPr="00BC533C">
              <w:rPr>
                <w:rFonts w:ascii="Arial" w:hAnsi="Arial" w:cs="Arial"/>
              </w:rPr>
              <w:t>hole</w:t>
            </w:r>
            <w:proofErr w:type="gramEnd"/>
            <w:r w:rsidRPr="00BC533C">
              <w:rPr>
                <w:rFonts w:ascii="Arial" w:hAnsi="Arial" w:cs="Arial"/>
              </w:rPr>
              <w:t xml:space="preserve"> location (21-5L) that is on a small shelf. This rather narrow and angled putting green is the smallest on the golf course. Players who “bail out” right will be faced with a difficult recovery, but today’s left hole location will make that task a bit easier. There is an optional dropping zone located on the 118 tee for a ball in the water hazard. </w:t>
            </w:r>
          </w:p>
        </w:tc>
      </w:tr>
      <w:tr w:rsidR="00BC533C" w:rsidRPr="00BC533C" w14:paraId="39BD9619" w14:textId="77777777" w:rsidTr="00D342A5">
        <w:trPr>
          <w:gridAfter w:val="9"/>
          <w:wAfter w:w="11142" w:type="dxa"/>
        </w:trPr>
        <w:tc>
          <w:tcPr>
            <w:tcW w:w="1098" w:type="dxa"/>
            <w:tcBorders>
              <w:bottom w:val="single" w:sz="4" w:space="0" w:color="auto"/>
            </w:tcBorders>
            <w:shd w:val="clear" w:color="auto" w:fill="auto"/>
          </w:tcPr>
          <w:p w14:paraId="45E1E5B4" w14:textId="22493A8F" w:rsidR="00BC533C" w:rsidRPr="00BC533C" w:rsidRDefault="00BC533C" w:rsidP="00D342A5">
            <w:pPr>
              <w:widowControl w:val="0"/>
              <w:autoSpaceDE w:val="0"/>
              <w:autoSpaceDN w:val="0"/>
              <w:adjustRightInd w:val="0"/>
              <w:rPr>
                <w:rFonts w:ascii="Arial" w:eastAsia="Calibri" w:hAnsi="Arial" w:cs="Arial"/>
                <w:sz w:val="22"/>
                <w:szCs w:val="22"/>
              </w:rPr>
            </w:pPr>
            <w:r w:rsidRPr="00BC533C">
              <w:rPr>
                <w:rFonts w:ascii="Arial" w:hAnsi="Arial" w:cs="Arial"/>
              </w:rPr>
              <w:t>18</w:t>
            </w:r>
          </w:p>
        </w:tc>
        <w:tc>
          <w:tcPr>
            <w:tcW w:w="630" w:type="dxa"/>
            <w:tcBorders>
              <w:bottom w:val="single" w:sz="4" w:space="0" w:color="auto"/>
            </w:tcBorders>
            <w:shd w:val="clear" w:color="auto" w:fill="auto"/>
          </w:tcPr>
          <w:p w14:paraId="0635FD57" w14:textId="4A603B42"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w:t>
            </w:r>
          </w:p>
        </w:tc>
        <w:tc>
          <w:tcPr>
            <w:tcW w:w="900" w:type="dxa"/>
            <w:tcBorders>
              <w:bottom w:val="single" w:sz="4" w:space="0" w:color="auto"/>
            </w:tcBorders>
            <w:shd w:val="clear" w:color="auto" w:fill="auto"/>
          </w:tcPr>
          <w:p w14:paraId="6044A900" w14:textId="49BF5268" w:rsidR="00BC533C" w:rsidRPr="00BC533C" w:rsidRDefault="00BC533C" w:rsidP="00D342A5">
            <w:pPr>
              <w:widowControl w:val="0"/>
              <w:autoSpaceDE w:val="0"/>
              <w:autoSpaceDN w:val="0"/>
              <w:adjustRightInd w:val="0"/>
              <w:jc w:val="center"/>
              <w:rPr>
                <w:rFonts w:ascii="Arial" w:eastAsia="Calibri" w:hAnsi="Arial" w:cs="Arial"/>
                <w:sz w:val="22"/>
                <w:szCs w:val="22"/>
              </w:rPr>
            </w:pPr>
            <w:r w:rsidRPr="00BC533C">
              <w:rPr>
                <w:rFonts w:ascii="Arial" w:hAnsi="Arial" w:cs="Arial"/>
              </w:rPr>
              <w:t>439</w:t>
            </w:r>
          </w:p>
        </w:tc>
        <w:tc>
          <w:tcPr>
            <w:tcW w:w="8622" w:type="dxa"/>
            <w:tcBorders>
              <w:bottom w:val="single" w:sz="4" w:space="0" w:color="auto"/>
            </w:tcBorders>
            <w:shd w:val="clear" w:color="auto" w:fill="auto"/>
          </w:tcPr>
          <w:p w14:paraId="45146042" w14:textId="01E2585E" w:rsidR="00BC533C" w:rsidRPr="00BC533C" w:rsidRDefault="00BC533C" w:rsidP="00F455F9">
            <w:pPr>
              <w:widowControl w:val="0"/>
              <w:autoSpaceDE w:val="0"/>
              <w:autoSpaceDN w:val="0"/>
              <w:adjustRightInd w:val="0"/>
              <w:rPr>
                <w:rFonts w:ascii="Arial" w:eastAsia="Calibri" w:hAnsi="Arial" w:cs="Arial"/>
                <w:sz w:val="22"/>
                <w:szCs w:val="22"/>
              </w:rPr>
            </w:pPr>
            <w:r w:rsidRPr="00BC533C">
              <w:rPr>
                <w:rFonts w:ascii="Arial" w:hAnsi="Arial" w:cs="Arial"/>
              </w:rPr>
              <w:t xml:space="preserve">With the hole located front left (10-5L) behind the front-left greenside bunker, we are using the 445 tee. Using this tee really brings the drive zone bunker complex into play, making it one of the better driving holes on the golf course today. The prevailing breeze is against and slightly from the right. </w:t>
            </w:r>
          </w:p>
        </w:tc>
      </w:tr>
      <w:tr w:rsidR="00BC533C" w:rsidRPr="00BC533C" w14:paraId="45B5A021" w14:textId="77777777" w:rsidTr="00D342A5">
        <w:trPr>
          <w:gridAfter w:val="9"/>
          <w:wAfter w:w="11142" w:type="dxa"/>
        </w:trPr>
        <w:tc>
          <w:tcPr>
            <w:tcW w:w="1098" w:type="dxa"/>
            <w:shd w:val="pct5" w:color="auto" w:fill="auto"/>
            <w:vAlign w:val="center"/>
          </w:tcPr>
          <w:p w14:paraId="393419EB"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b/>
                <w:bCs/>
                <w:sz w:val="22"/>
                <w:szCs w:val="22"/>
              </w:rPr>
              <w:t>TOTAL</w:t>
            </w:r>
          </w:p>
        </w:tc>
        <w:tc>
          <w:tcPr>
            <w:tcW w:w="630" w:type="dxa"/>
            <w:shd w:val="pct5" w:color="auto" w:fill="auto"/>
          </w:tcPr>
          <w:p w14:paraId="1ED3283C" w14:textId="21C6FB1D" w:rsidR="00BC533C" w:rsidRPr="00BC533C" w:rsidRDefault="00BC533C" w:rsidP="00BC533C">
            <w:pPr>
              <w:widowControl w:val="0"/>
              <w:autoSpaceDE w:val="0"/>
              <w:autoSpaceDN w:val="0"/>
              <w:adjustRightInd w:val="0"/>
              <w:jc w:val="center"/>
              <w:rPr>
                <w:rFonts w:ascii="Arial" w:hAnsi="Arial" w:cs="Arial"/>
                <w:b/>
                <w:sz w:val="22"/>
                <w:szCs w:val="22"/>
              </w:rPr>
            </w:pPr>
            <w:r w:rsidRPr="00BC533C">
              <w:rPr>
                <w:rFonts w:ascii="Arial" w:hAnsi="Arial" w:cs="Arial"/>
                <w:b/>
              </w:rPr>
              <w:t>35</w:t>
            </w:r>
          </w:p>
        </w:tc>
        <w:tc>
          <w:tcPr>
            <w:tcW w:w="900" w:type="dxa"/>
            <w:shd w:val="pct5" w:color="auto" w:fill="auto"/>
          </w:tcPr>
          <w:p w14:paraId="25BB53CD" w14:textId="2C5F536F" w:rsidR="00BC533C" w:rsidRPr="00BC533C" w:rsidRDefault="00BC533C" w:rsidP="00BC533C">
            <w:pPr>
              <w:widowControl w:val="0"/>
              <w:autoSpaceDE w:val="0"/>
              <w:autoSpaceDN w:val="0"/>
              <w:adjustRightInd w:val="0"/>
              <w:jc w:val="center"/>
              <w:rPr>
                <w:rFonts w:ascii="Arial" w:hAnsi="Arial" w:cs="Arial"/>
                <w:b/>
                <w:sz w:val="22"/>
                <w:szCs w:val="22"/>
              </w:rPr>
            </w:pPr>
            <w:r w:rsidRPr="00BC533C">
              <w:rPr>
                <w:rFonts w:ascii="Arial" w:hAnsi="Arial" w:cs="Arial"/>
                <w:b/>
              </w:rPr>
              <w:t>3,541</w:t>
            </w:r>
          </w:p>
        </w:tc>
        <w:tc>
          <w:tcPr>
            <w:tcW w:w="8622" w:type="dxa"/>
            <w:shd w:val="pct5" w:color="auto" w:fill="auto"/>
            <w:vAlign w:val="center"/>
          </w:tcPr>
          <w:p w14:paraId="1E8A9653"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r>
      <w:tr w:rsidR="00D32D52" w:rsidRPr="00BC533C" w14:paraId="39BD96E1" w14:textId="77777777" w:rsidTr="00D342A5">
        <w:tc>
          <w:tcPr>
            <w:tcW w:w="1098" w:type="dxa"/>
            <w:tcBorders>
              <w:bottom w:val="single" w:sz="4" w:space="0" w:color="auto"/>
            </w:tcBorders>
            <w:shd w:val="clear" w:color="auto" w:fill="auto"/>
            <w:vAlign w:val="center"/>
          </w:tcPr>
          <w:p w14:paraId="63CCF1BF"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630" w:type="dxa"/>
            <w:tcBorders>
              <w:bottom w:val="single" w:sz="4" w:space="0" w:color="auto"/>
            </w:tcBorders>
            <w:shd w:val="clear" w:color="auto" w:fill="auto"/>
            <w:vAlign w:val="center"/>
          </w:tcPr>
          <w:p w14:paraId="48630B78" w14:textId="2107E37E" w:rsidR="00347513" w:rsidRPr="00BC533C" w:rsidRDefault="00347513" w:rsidP="00BC533C">
            <w:pPr>
              <w:widowControl w:val="0"/>
              <w:autoSpaceDE w:val="0"/>
              <w:autoSpaceDN w:val="0"/>
              <w:adjustRightInd w:val="0"/>
              <w:jc w:val="center"/>
              <w:rPr>
                <w:rFonts w:ascii="Arial" w:hAnsi="Arial" w:cs="Arial"/>
                <w:b/>
                <w:sz w:val="22"/>
                <w:szCs w:val="22"/>
              </w:rPr>
            </w:pPr>
          </w:p>
        </w:tc>
        <w:tc>
          <w:tcPr>
            <w:tcW w:w="900" w:type="dxa"/>
            <w:tcBorders>
              <w:bottom w:val="single" w:sz="4" w:space="0" w:color="auto"/>
            </w:tcBorders>
            <w:shd w:val="clear" w:color="auto" w:fill="auto"/>
            <w:vAlign w:val="center"/>
          </w:tcPr>
          <w:p w14:paraId="1ABBE7B1" w14:textId="77777777" w:rsidR="00347513" w:rsidRPr="00BC533C" w:rsidRDefault="00347513" w:rsidP="00BC533C">
            <w:pPr>
              <w:widowControl w:val="0"/>
              <w:autoSpaceDE w:val="0"/>
              <w:autoSpaceDN w:val="0"/>
              <w:adjustRightInd w:val="0"/>
              <w:jc w:val="center"/>
              <w:rPr>
                <w:rFonts w:ascii="Arial" w:hAnsi="Arial" w:cs="Arial"/>
                <w:b/>
                <w:sz w:val="22"/>
                <w:szCs w:val="22"/>
              </w:rPr>
            </w:pPr>
          </w:p>
        </w:tc>
        <w:tc>
          <w:tcPr>
            <w:tcW w:w="8622" w:type="dxa"/>
            <w:tcBorders>
              <w:bottom w:val="single" w:sz="4" w:space="0" w:color="auto"/>
            </w:tcBorders>
            <w:shd w:val="clear" w:color="auto" w:fill="auto"/>
            <w:vAlign w:val="center"/>
          </w:tcPr>
          <w:p w14:paraId="35B436C3"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5DA598ED"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34E89DE1"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5AFD9C26"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4E5C4EB9"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4644DEC8"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5B2374BF"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7A42B846"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6CA43D0E"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c>
          <w:tcPr>
            <w:tcW w:w="1238" w:type="dxa"/>
            <w:shd w:val="clear" w:color="auto" w:fill="auto"/>
          </w:tcPr>
          <w:p w14:paraId="73C72404" w14:textId="77777777" w:rsidR="00347513" w:rsidRPr="00BC533C" w:rsidRDefault="00347513"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r>
      <w:tr w:rsidR="00BC533C" w:rsidRPr="00BC533C" w14:paraId="5ADE7D58" w14:textId="77777777" w:rsidTr="00D342A5">
        <w:trPr>
          <w:gridAfter w:val="9"/>
          <w:wAfter w:w="11142" w:type="dxa"/>
        </w:trPr>
        <w:tc>
          <w:tcPr>
            <w:tcW w:w="1098" w:type="dxa"/>
            <w:shd w:val="pct5" w:color="auto" w:fill="auto"/>
            <w:vAlign w:val="center"/>
          </w:tcPr>
          <w:p w14:paraId="3951FF18"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b/>
                <w:bCs/>
                <w:sz w:val="22"/>
                <w:szCs w:val="22"/>
              </w:rPr>
              <w:t>TOTAL</w:t>
            </w:r>
          </w:p>
        </w:tc>
        <w:tc>
          <w:tcPr>
            <w:tcW w:w="630" w:type="dxa"/>
            <w:shd w:val="pct5" w:color="auto" w:fill="auto"/>
          </w:tcPr>
          <w:p w14:paraId="19B40EE4" w14:textId="6C794757" w:rsidR="00BC533C" w:rsidRPr="00BC533C" w:rsidRDefault="00BC533C" w:rsidP="00BC533C">
            <w:pPr>
              <w:widowControl w:val="0"/>
              <w:autoSpaceDE w:val="0"/>
              <w:autoSpaceDN w:val="0"/>
              <w:adjustRightInd w:val="0"/>
              <w:jc w:val="center"/>
              <w:rPr>
                <w:rFonts w:ascii="Arial" w:hAnsi="Arial" w:cs="Arial"/>
                <w:b/>
                <w:sz w:val="22"/>
                <w:szCs w:val="22"/>
              </w:rPr>
            </w:pPr>
            <w:r w:rsidRPr="00BC533C">
              <w:rPr>
                <w:rFonts w:ascii="Arial" w:hAnsi="Arial" w:cs="Arial"/>
                <w:b/>
              </w:rPr>
              <w:t>70</w:t>
            </w:r>
          </w:p>
        </w:tc>
        <w:tc>
          <w:tcPr>
            <w:tcW w:w="900" w:type="dxa"/>
            <w:shd w:val="pct5" w:color="auto" w:fill="auto"/>
          </w:tcPr>
          <w:p w14:paraId="2BAC0C22" w14:textId="7C30D6AC" w:rsidR="00BC533C" w:rsidRPr="00BC533C" w:rsidRDefault="00BC533C" w:rsidP="00BC533C">
            <w:pPr>
              <w:widowControl w:val="0"/>
              <w:autoSpaceDE w:val="0"/>
              <w:autoSpaceDN w:val="0"/>
              <w:adjustRightInd w:val="0"/>
              <w:jc w:val="center"/>
              <w:rPr>
                <w:rFonts w:ascii="Arial" w:hAnsi="Arial" w:cs="Arial"/>
                <w:b/>
                <w:sz w:val="22"/>
                <w:szCs w:val="22"/>
              </w:rPr>
            </w:pPr>
            <w:r w:rsidRPr="00BC533C">
              <w:rPr>
                <w:rFonts w:ascii="Arial" w:hAnsi="Arial" w:cs="Arial"/>
                <w:b/>
              </w:rPr>
              <w:t>7,028</w:t>
            </w:r>
          </w:p>
        </w:tc>
        <w:tc>
          <w:tcPr>
            <w:tcW w:w="8622" w:type="dxa"/>
            <w:shd w:val="pct5" w:color="auto" w:fill="auto"/>
            <w:vAlign w:val="center"/>
          </w:tcPr>
          <w:p w14:paraId="025A3CE3" w14:textId="77777777" w:rsidR="00BC533C" w:rsidRPr="00BC533C" w:rsidRDefault="00BC533C" w:rsidP="00F455F9">
            <w:pPr>
              <w:widowControl w:val="0"/>
              <w:autoSpaceDE w:val="0"/>
              <w:autoSpaceDN w:val="0"/>
              <w:adjustRightInd w:val="0"/>
              <w:rPr>
                <w:rFonts w:ascii="Arial" w:hAnsi="Arial" w:cs="Arial"/>
                <w:sz w:val="22"/>
                <w:szCs w:val="22"/>
              </w:rPr>
            </w:pPr>
            <w:r w:rsidRPr="00BC533C">
              <w:rPr>
                <w:rFonts w:ascii="Arial" w:hAnsi="Arial" w:cs="Arial"/>
                <w:sz w:val="22"/>
                <w:szCs w:val="22"/>
              </w:rPr>
              <w:t> </w:t>
            </w:r>
          </w:p>
        </w:tc>
      </w:tr>
    </w:tbl>
    <w:p w14:paraId="247B919C" w14:textId="77777777" w:rsidR="00347513" w:rsidRPr="00BC533C" w:rsidRDefault="00347513" w:rsidP="00347513">
      <w:pPr>
        <w:suppressAutoHyphens/>
        <w:rPr>
          <w:rFonts w:ascii="Arial" w:hAnsi="Arial" w:cs="Arial"/>
          <w:sz w:val="22"/>
          <w:szCs w:val="22"/>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000"/>
      </w:tblGrid>
      <w:tr w:rsidR="00347513" w:rsidRPr="00BC533C" w14:paraId="5CDAF16A" w14:textId="77777777" w:rsidTr="00F455F9">
        <w:tc>
          <w:tcPr>
            <w:tcW w:w="2268" w:type="dxa"/>
            <w:shd w:val="clear" w:color="auto" w:fill="auto"/>
            <w:vAlign w:val="center"/>
          </w:tcPr>
          <w:p w14:paraId="338DC2B9" w14:textId="77777777" w:rsidR="00347513" w:rsidRPr="00BC533C" w:rsidRDefault="00347513" w:rsidP="00F455F9">
            <w:pPr>
              <w:suppressAutoHyphens/>
              <w:rPr>
                <w:rFonts w:ascii="Arial" w:hAnsi="Arial" w:cs="Arial"/>
                <w:b/>
                <w:sz w:val="22"/>
                <w:szCs w:val="22"/>
              </w:rPr>
            </w:pPr>
            <w:r w:rsidRPr="00BC533C">
              <w:rPr>
                <w:rFonts w:ascii="Arial" w:hAnsi="Arial" w:cs="Arial"/>
                <w:b/>
                <w:sz w:val="22"/>
                <w:szCs w:val="22"/>
              </w:rPr>
              <w:t>Course Set-Up</w:t>
            </w:r>
          </w:p>
        </w:tc>
        <w:tc>
          <w:tcPr>
            <w:tcW w:w="9000" w:type="dxa"/>
            <w:shd w:val="clear" w:color="auto" w:fill="auto"/>
            <w:vAlign w:val="center"/>
          </w:tcPr>
          <w:p w14:paraId="42DF1B29" w14:textId="77777777" w:rsidR="00BC533C" w:rsidRPr="00BC533C" w:rsidRDefault="00BC533C" w:rsidP="00BC533C">
            <w:pPr>
              <w:suppressAutoHyphens/>
              <w:rPr>
                <w:rFonts w:ascii="Arial" w:eastAsia="Calibri" w:hAnsi="Arial" w:cs="Arial"/>
                <w:sz w:val="22"/>
                <w:szCs w:val="22"/>
              </w:rPr>
            </w:pPr>
            <w:r w:rsidRPr="00BC533C">
              <w:rPr>
                <w:rFonts w:ascii="Arial" w:eastAsia="Calibri" w:hAnsi="Arial" w:cs="Arial"/>
                <w:sz w:val="22"/>
                <w:szCs w:val="22"/>
              </w:rPr>
              <w:t>All the rough inside the ropes was mowed last night.</w:t>
            </w:r>
          </w:p>
          <w:p w14:paraId="0421C712" w14:textId="77777777" w:rsidR="00BC533C" w:rsidRPr="00BC533C" w:rsidRDefault="00BC533C" w:rsidP="00BC533C">
            <w:pPr>
              <w:suppressAutoHyphens/>
              <w:rPr>
                <w:rFonts w:ascii="Arial" w:eastAsia="Calibri" w:hAnsi="Arial" w:cs="Arial"/>
                <w:sz w:val="22"/>
                <w:szCs w:val="22"/>
              </w:rPr>
            </w:pPr>
          </w:p>
          <w:p w14:paraId="1EDEA27B" w14:textId="77777777" w:rsidR="00BC533C" w:rsidRPr="00BC533C" w:rsidRDefault="00BC533C" w:rsidP="00BC533C">
            <w:pPr>
              <w:suppressAutoHyphens/>
              <w:rPr>
                <w:rFonts w:ascii="Arial" w:eastAsia="Calibri" w:hAnsi="Arial" w:cs="Arial"/>
                <w:sz w:val="22"/>
                <w:szCs w:val="22"/>
              </w:rPr>
            </w:pPr>
            <w:r w:rsidRPr="00BC533C">
              <w:rPr>
                <w:rFonts w:ascii="Arial" w:eastAsia="Calibri" w:hAnsi="Arial" w:cs="Arial"/>
                <w:sz w:val="22"/>
                <w:szCs w:val="22"/>
              </w:rPr>
              <w:t>Greens were hand-watered to achieve the desired moisture and firmness last night. This morning, greens were again hand-watered to achieve a target moisture level which has been established based on firmness and with close attention to turf health. Greens will be lightly hand-watered during the midday break to maintain turf health throughout the day, if necessary.</w:t>
            </w:r>
          </w:p>
          <w:p w14:paraId="5E0C1136" w14:textId="77777777" w:rsidR="00BC533C" w:rsidRPr="00BC533C" w:rsidRDefault="00BC533C" w:rsidP="00BC533C">
            <w:pPr>
              <w:suppressAutoHyphens/>
              <w:rPr>
                <w:rFonts w:ascii="Arial" w:eastAsia="Calibri" w:hAnsi="Arial" w:cs="Arial"/>
                <w:sz w:val="22"/>
                <w:szCs w:val="22"/>
              </w:rPr>
            </w:pPr>
          </w:p>
          <w:p w14:paraId="6073FDC2" w14:textId="0FFD3E3B" w:rsidR="00347513" w:rsidRPr="00BC533C" w:rsidRDefault="00BC533C" w:rsidP="00BC533C">
            <w:pPr>
              <w:suppressAutoHyphens/>
              <w:rPr>
                <w:rFonts w:ascii="Arial" w:hAnsi="Arial" w:cs="Arial"/>
                <w:sz w:val="22"/>
                <w:szCs w:val="22"/>
              </w:rPr>
            </w:pPr>
            <w:r w:rsidRPr="00BC533C">
              <w:rPr>
                <w:rFonts w:ascii="Arial" w:eastAsia="Calibri" w:hAnsi="Arial" w:cs="Arial"/>
                <w:sz w:val="22"/>
                <w:szCs w:val="22"/>
              </w:rPr>
              <w:t>Fairways and roughs received appropriate water to maintain turf health, with an eye on continued firming of the fairways, and the drive zones specifically.</w:t>
            </w:r>
          </w:p>
        </w:tc>
      </w:tr>
      <w:tr w:rsidR="00347513" w:rsidRPr="00BC533C" w14:paraId="0FA72A39" w14:textId="77777777" w:rsidTr="00F455F9">
        <w:tc>
          <w:tcPr>
            <w:tcW w:w="2268" w:type="dxa"/>
            <w:shd w:val="clear" w:color="auto" w:fill="auto"/>
            <w:vAlign w:val="center"/>
          </w:tcPr>
          <w:p w14:paraId="566C4599" w14:textId="77777777" w:rsidR="00347513" w:rsidRPr="00BC533C" w:rsidRDefault="00347513" w:rsidP="00F455F9">
            <w:pPr>
              <w:suppressAutoHyphens/>
              <w:rPr>
                <w:rFonts w:ascii="Arial" w:hAnsi="Arial" w:cs="Arial"/>
                <w:b/>
                <w:sz w:val="22"/>
                <w:szCs w:val="22"/>
              </w:rPr>
            </w:pPr>
            <w:r w:rsidRPr="00BC533C">
              <w:rPr>
                <w:rFonts w:ascii="Arial" w:hAnsi="Arial" w:cs="Arial"/>
                <w:b/>
                <w:sz w:val="22"/>
                <w:szCs w:val="22"/>
              </w:rPr>
              <w:t>Green Speeds</w:t>
            </w:r>
          </w:p>
        </w:tc>
        <w:tc>
          <w:tcPr>
            <w:tcW w:w="9000" w:type="dxa"/>
            <w:shd w:val="clear" w:color="auto" w:fill="auto"/>
            <w:vAlign w:val="center"/>
          </w:tcPr>
          <w:p w14:paraId="12B6F379" w14:textId="7D164633" w:rsidR="00347513" w:rsidRPr="00BC533C" w:rsidRDefault="00BC533C" w:rsidP="00F455F9">
            <w:pPr>
              <w:rPr>
                <w:rFonts w:ascii="Arial" w:hAnsi="Arial" w:cs="Arial"/>
                <w:sz w:val="22"/>
                <w:szCs w:val="22"/>
              </w:rPr>
            </w:pPr>
            <w:r w:rsidRPr="00BC533C">
              <w:rPr>
                <w:rFonts w:ascii="Arial" w:eastAsia="Calibri" w:hAnsi="Arial" w:cs="Arial"/>
                <w:sz w:val="22"/>
                <w:szCs w:val="22"/>
              </w:rPr>
              <w:t xml:space="preserve">Today's green speeds averaged 12’ 7” on the USGA </w:t>
            </w:r>
            <w:proofErr w:type="spellStart"/>
            <w:r w:rsidRPr="00BC533C">
              <w:rPr>
                <w:rFonts w:ascii="Arial" w:eastAsia="Calibri" w:hAnsi="Arial" w:cs="Arial"/>
                <w:sz w:val="22"/>
                <w:szCs w:val="22"/>
              </w:rPr>
              <w:t>Stimpmeter</w:t>
            </w:r>
            <w:proofErr w:type="spellEnd"/>
            <w:r w:rsidRPr="00BC533C">
              <w:rPr>
                <w:rFonts w:ascii="Arial" w:eastAsia="Calibri" w:hAnsi="Arial" w:cs="Arial"/>
                <w:sz w:val="22"/>
                <w:szCs w:val="22"/>
              </w:rPr>
              <w:t xml:space="preserve"> this morning, which is right in our desired range. We achieved this speed through a double cut in the evening and a double cut and roll in the morning. We anticipate losing approximately 6-8” of speed throughout the day.</w:t>
            </w:r>
          </w:p>
        </w:tc>
      </w:tr>
      <w:tr w:rsidR="00BC533C" w:rsidRPr="00BC533C" w14:paraId="35ECBA71" w14:textId="77777777" w:rsidTr="00F455F9">
        <w:tc>
          <w:tcPr>
            <w:tcW w:w="2268" w:type="dxa"/>
            <w:shd w:val="clear" w:color="auto" w:fill="auto"/>
            <w:vAlign w:val="center"/>
          </w:tcPr>
          <w:p w14:paraId="39E15428" w14:textId="55B962AE" w:rsidR="00BC533C" w:rsidRPr="00BC533C" w:rsidRDefault="00BC533C" w:rsidP="00F455F9">
            <w:pPr>
              <w:suppressAutoHyphens/>
              <w:rPr>
                <w:rFonts w:ascii="Arial" w:hAnsi="Arial" w:cs="Arial"/>
                <w:b/>
                <w:sz w:val="22"/>
                <w:szCs w:val="22"/>
              </w:rPr>
            </w:pPr>
            <w:r w:rsidRPr="00BC533C">
              <w:rPr>
                <w:rFonts w:ascii="Arial" w:hAnsi="Arial" w:cs="Arial"/>
                <w:b/>
                <w:sz w:val="22"/>
                <w:szCs w:val="22"/>
              </w:rPr>
              <w:t>Weather Forecast</w:t>
            </w:r>
          </w:p>
        </w:tc>
        <w:tc>
          <w:tcPr>
            <w:tcW w:w="9000" w:type="dxa"/>
            <w:shd w:val="clear" w:color="auto" w:fill="auto"/>
            <w:vAlign w:val="center"/>
          </w:tcPr>
          <w:p w14:paraId="6630C018" w14:textId="77777777" w:rsidR="00BC533C" w:rsidRPr="00D342A5" w:rsidRDefault="00BC533C" w:rsidP="00BC533C">
            <w:pPr>
              <w:rPr>
                <w:rFonts w:ascii="Arial" w:eastAsia="Calibri" w:hAnsi="Arial" w:cs="Arial"/>
                <w:b/>
                <w:sz w:val="22"/>
                <w:szCs w:val="22"/>
              </w:rPr>
            </w:pPr>
            <w:r w:rsidRPr="00D342A5">
              <w:rPr>
                <w:rFonts w:ascii="Arial" w:eastAsia="Calibri" w:hAnsi="Arial" w:cs="Arial"/>
                <w:b/>
                <w:sz w:val="22"/>
                <w:szCs w:val="22"/>
              </w:rPr>
              <w:t>From Jake Swick with Thor Guard Weather</w:t>
            </w:r>
          </w:p>
          <w:p w14:paraId="77464570" w14:textId="77777777" w:rsidR="00BC533C" w:rsidRPr="00BC533C" w:rsidRDefault="00BC533C" w:rsidP="00BC533C">
            <w:pPr>
              <w:rPr>
                <w:rFonts w:ascii="Arial" w:eastAsia="Calibri" w:hAnsi="Arial" w:cs="Arial"/>
                <w:sz w:val="22"/>
                <w:szCs w:val="22"/>
              </w:rPr>
            </w:pPr>
          </w:p>
          <w:p w14:paraId="5DE2C908" w14:textId="77777777" w:rsidR="00BC533C" w:rsidRPr="00BC533C" w:rsidRDefault="00BC533C" w:rsidP="00BC533C">
            <w:pPr>
              <w:rPr>
                <w:rFonts w:ascii="Arial" w:eastAsia="Calibri" w:hAnsi="Arial" w:cs="Arial"/>
                <w:sz w:val="22"/>
                <w:szCs w:val="22"/>
              </w:rPr>
            </w:pPr>
            <w:r w:rsidRPr="00BC533C">
              <w:rPr>
                <w:rFonts w:ascii="Arial" w:eastAsia="Calibri" w:hAnsi="Arial" w:cs="Arial"/>
                <w:sz w:val="22"/>
                <w:szCs w:val="22"/>
              </w:rPr>
              <w:lastRenderedPageBreak/>
              <w:t xml:space="preserve">5 A.M. </w:t>
            </w:r>
          </w:p>
          <w:p w14:paraId="14665C39" w14:textId="60470E99" w:rsidR="00BC533C" w:rsidRPr="00BC533C" w:rsidRDefault="00BC533C" w:rsidP="00BC533C">
            <w:pPr>
              <w:rPr>
                <w:rFonts w:ascii="Arial" w:eastAsia="Calibri" w:hAnsi="Arial" w:cs="Arial"/>
                <w:sz w:val="22"/>
                <w:szCs w:val="22"/>
              </w:rPr>
            </w:pPr>
            <w:r w:rsidRPr="00BC533C">
              <w:rPr>
                <w:rFonts w:ascii="Arial" w:eastAsia="Calibri" w:hAnsi="Arial" w:cs="Arial"/>
                <w:sz w:val="22"/>
                <w:szCs w:val="22"/>
              </w:rPr>
              <w:t xml:space="preserve">Thankfully the activity to our south last evening weakened as it approached Columbus and the activity overnight was less than early Wednesday. This means we'll see more hazy sunshine this morning than yesterday morning and with temps in the </w:t>
            </w:r>
            <w:proofErr w:type="spellStart"/>
            <w:r w:rsidRPr="00BC533C">
              <w:rPr>
                <w:rFonts w:ascii="Arial" w:eastAsia="Calibri" w:hAnsi="Arial" w:cs="Arial"/>
                <w:sz w:val="22"/>
                <w:szCs w:val="22"/>
              </w:rPr>
              <w:t>mid 70s</w:t>
            </w:r>
            <w:proofErr w:type="spellEnd"/>
            <w:r w:rsidRPr="00BC533C">
              <w:rPr>
                <w:rFonts w:ascii="Arial" w:eastAsia="Calibri" w:hAnsi="Arial" w:cs="Arial"/>
                <w:sz w:val="22"/>
                <w:szCs w:val="22"/>
              </w:rPr>
              <w:t xml:space="preserve"> now, we may get close to 90 by lunchtime. From about 2 to 5 p.m. (depends on storm activity), we'll likely see highs around 90, </w:t>
            </w:r>
            <w:proofErr w:type="spellStart"/>
            <w:r w:rsidRPr="00BC533C">
              <w:rPr>
                <w:rFonts w:ascii="Arial" w:eastAsia="Calibri" w:hAnsi="Arial" w:cs="Arial"/>
                <w:sz w:val="22"/>
                <w:szCs w:val="22"/>
              </w:rPr>
              <w:t>dewpoints</w:t>
            </w:r>
            <w:proofErr w:type="spellEnd"/>
            <w:r w:rsidRPr="00BC533C">
              <w:rPr>
                <w:rFonts w:ascii="Arial" w:eastAsia="Calibri" w:hAnsi="Arial" w:cs="Arial"/>
                <w:sz w:val="22"/>
                <w:szCs w:val="22"/>
              </w:rPr>
              <w:t xml:space="preserve"> in the </w:t>
            </w:r>
            <w:proofErr w:type="spellStart"/>
            <w:r w:rsidRPr="00BC533C">
              <w:rPr>
                <w:rFonts w:ascii="Arial" w:eastAsia="Calibri" w:hAnsi="Arial" w:cs="Arial"/>
                <w:sz w:val="22"/>
                <w:szCs w:val="22"/>
              </w:rPr>
              <w:t>mid 70s</w:t>
            </w:r>
            <w:proofErr w:type="spellEnd"/>
            <w:r w:rsidRPr="00BC533C">
              <w:rPr>
                <w:rFonts w:ascii="Arial" w:eastAsia="Calibri" w:hAnsi="Arial" w:cs="Arial"/>
                <w:sz w:val="22"/>
                <w:szCs w:val="22"/>
              </w:rPr>
              <w:t xml:space="preserve"> and that should equal a heat index of 100. Light winds this morning will become an occasional south/southwest breeze at 4-8 mph by this afternoon. I'm keeping a 20% chance of a shower or storm for most of this morning, but look for the real hit or miss action to begin at 12:30 PM and continue through this evening. I'm putting a 40% chance of us getting hit by a shower or storm this afternoon and evening since the models have it looking like the last two afternoons/evenings or slightly less active (which could be great if that holds true!). Friday's forecast is almost a carbon copy of today with just a bit more wind in the afternoon. The area of low pressure and cold front for this weekend is still not as clear as I would like in the forecast models. Therefore I'll keep the 60% chance of showers and storms from midday Saturday through midday Sunday. The picture being painted by the models continues to show the low moving from Chicago to Cleveland with some </w:t>
            </w:r>
            <w:proofErr w:type="gramStart"/>
            <w:r w:rsidRPr="00BC533C">
              <w:rPr>
                <w:rFonts w:ascii="Arial" w:eastAsia="Calibri" w:hAnsi="Arial" w:cs="Arial"/>
                <w:sz w:val="22"/>
                <w:szCs w:val="22"/>
              </w:rPr>
              <w:t>ease,</w:t>
            </w:r>
            <w:proofErr w:type="gramEnd"/>
            <w:r w:rsidRPr="00BC533C">
              <w:rPr>
                <w:rFonts w:ascii="Arial" w:eastAsia="Calibri" w:hAnsi="Arial" w:cs="Arial"/>
                <w:sz w:val="22"/>
                <w:szCs w:val="22"/>
              </w:rPr>
              <w:t xml:space="preserve"> however the cold front south of the low appears to have some difficulty plowing through Ohio. We'll see over the next few model runs if we can get it to clear us Saturday night or Sunday morning.</w:t>
            </w:r>
          </w:p>
        </w:tc>
      </w:tr>
    </w:tbl>
    <w:p w14:paraId="0142EED9" w14:textId="4A4243E3" w:rsidR="00D32D52" w:rsidRPr="00BC533C" w:rsidRDefault="00D32D52">
      <w:pPr>
        <w:rPr>
          <w:rFonts w:ascii="Arial" w:hAnsi="Arial" w:cs="Arial"/>
        </w:rPr>
      </w:pPr>
    </w:p>
    <w:sectPr w:rsidR="00D32D52" w:rsidRPr="00BC533C" w:rsidSect="00D32D52">
      <w:headerReference w:type="first" r:id="rId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7A313" w14:textId="77777777" w:rsidR="00781591" w:rsidRDefault="00781591">
      <w:r>
        <w:separator/>
      </w:r>
    </w:p>
  </w:endnote>
  <w:endnote w:type="continuationSeparator" w:id="0">
    <w:p w14:paraId="6C506F3B" w14:textId="77777777" w:rsidR="00781591" w:rsidRDefault="0078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porat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A9B7E" w14:textId="77777777" w:rsidR="00781591" w:rsidRDefault="00781591">
      <w:r>
        <w:separator/>
      </w:r>
    </w:p>
  </w:footnote>
  <w:footnote w:type="continuationSeparator" w:id="0">
    <w:p w14:paraId="278CDB9F" w14:textId="77777777" w:rsidR="00781591" w:rsidRDefault="00781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D1C17" w14:textId="4D067F99" w:rsidR="00D32D52" w:rsidRDefault="00D32D52">
    <w:pPr>
      <w:pStyle w:val="Header"/>
    </w:pPr>
    <w:r>
      <w:rPr>
        <w:noProof/>
      </w:rPr>
      <w:drawing>
        <wp:anchor distT="0" distB="0" distL="114300" distR="114300" simplePos="0" relativeHeight="251659264" behindDoc="0" locked="0" layoutInCell="1" allowOverlap="1" wp14:anchorId="2DDB0A04" wp14:editId="255857BE">
          <wp:simplePos x="0" y="0"/>
          <wp:positionH relativeFrom="margin">
            <wp:posOffset>4876800</wp:posOffset>
          </wp:positionH>
          <wp:positionV relativeFrom="margin">
            <wp:posOffset>-571500</wp:posOffset>
          </wp:positionV>
          <wp:extent cx="1950085" cy="548640"/>
          <wp:effectExtent l="0" t="0" r="5715" b="10160"/>
          <wp:wrapSquare wrapText="bothSides"/>
          <wp:docPr id="4" name="Picture 4" descr="Publications:Logos:****USGA Logos:USGA Logo and Seal:Files From S+G:Logotype - Very Rare Usage:JPG:USGA_Logotype_Spot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s:Logos:****USGA Logos:USGA Logo and Seal:Files From S+G:Logotype - Very Rare Usage:JPG:USGA_Logotype_Spot_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8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33C">
      <w:rPr>
        <w:noProof/>
      </w:rPr>
      <w:drawing>
        <wp:inline distT="0" distB="0" distL="0" distR="0" wp14:anchorId="0D59EFF8" wp14:editId="5A9369AE">
          <wp:extent cx="944242" cy="89570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 USSO Logo_print_official.JPG"/>
                  <pic:cNvPicPr/>
                </pic:nvPicPr>
                <pic:blipFill>
                  <a:blip r:embed="rId2">
                    <a:extLst>
                      <a:ext uri="{28A0092B-C50C-407E-A947-70E740481C1C}">
                        <a14:useLocalDpi xmlns:a14="http://schemas.microsoft.com/office/drawing/2010/main" val="0"/>
                      </a:ext>
                    </a:extLst>
                  </a:blip>
                  <a:stretch>
                    <a:fillRect/>
                  </a:stretch>
                </pic:blipFill>
                <pic:spPr>
                  <a:xfrm>
                    <a:off x="0" y="0"/>
                    <a:ext cx="944439" cy="895892"/>
                  </a:xfrm>
                  <a:prstGeom prst="rect">
                    <a:avLst/>
                  </a:prstGeom>
                </pic:spPr>
              </pic:pic>
            </a:graphicData>
          </a:graphic>
        </wp:inline>
      </w:drawing>
    </w:r>
    <w:r w:rsidRPr="00D32D52">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102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AC3B3F"/>
    <w:multiLevelType w:val="singleLevel"/>
    <w:tmpl w:val="1E284A8E"/>
    <w:lvl w:ilvl="0">
      <w:start w:val="4"/>
      <w:numFmt w:val="decimal"/>
      <w:lvlText w:val="%1)"/>
      <w:lvlJc w:val="left"/>
      <w:pPr>
        <w:tabs>
          <w:tab w:val="num" w:pos="720"/>
        </w:tabs>
        <w:ind w:left="720" w:hanging="720"/>
      </w:pPr>
      <w:rPr>
        <w:rFonts w:hint="default"/>
      </w:rPr>
    </w:lvl>
  </w:abstractNum>
  <w:abstractNum w:abstractNumId="3">
    <w:nsid w:val="17E860AE"/>
    <w:multiLevelType w:val="hybridMultilevel"/>
    <w:tmpl w:val="9C52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31DF7"/>
    <w:multiLevelType w:val="hybridMultilevel"/>
    <w:tmpl w:val="7846B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BE1B42"/>
    <w:multiLevelType w:val="hybridMultilevel"/>
    <w:tmpl w:val="E9F6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73B83"/>
    <w:multiLevelType w:val="hybridMultilevel"/>
    <w:tmpl w:val="88FE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D0E07"/>
    <w:multiLevelType w:val="hybridMultilevel"/>
    <w:tmpl w:val="B5C0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C3B79"/>
    <w:multiLevelType w:val="hybridMultilevel"/>
    <w:tmpl w:val="7CCC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EC6855"/>
    <w:multiLevelType w:val="singleLevel"/>
    <w:tmpl w:val="04090011"/>
    <w:lvl w:ilvl="0">
      <w:start w:val="1"/>
      <w:numFmt w:val="decimal"/>
      <w:lvlText w:val="%1)"/>
      <w:lvlJc w:val="left"/>
      <w:pPr>
        <w:tabs>
          <w:tab w:val="num" w:pos="360"/>
        </w:tabs>
        <w:ind w:left="360" w:hanging="360"/>
      </w:pPr>
      <w:rPr>
        <w:rFonts w:hint="default"/>
      </w:rPr>
    </w:lvl>
  </w:abstractNum>
  <w:abstractNum w:abstractNumId="10">
    <w:nsid w:val="62482E81"/>
    <w:multiLevelType w:val="hybridMultilevel"/>
    <w:tmpl w:val="894CC8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B3B9A"/>
    <w:multiLevelType w:val="hybridMultilevel"/>
    <w:tmpl w:val="235CC2A0"/>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A33DE"/>
    <w:multiLevelType w:val="hybridMultilevel"/>
    <w:tmpl w:val="1C962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86EF5"/>
    <w:multiLevelType w:val="hybridMultilevel"/>
    <w:tmpl w:val="EE36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4"/>
  </w:num>
  <w:num w:numId="9">
    <w:abstractNumId w:val="8"/>
  </w:num>
  <w:num w:numId="10">
    <w:abstractNumId w:val="3"/>
  </w:num>
  <w:num w:numId="11">
    <w:abstractNumId w:val="10"/>
  </w:num>
  <w:num w:numId="12">
    <w:abstractNumId w:val="12"/>
  </w:num>
  <w:num w:numId="13">
    <w:abstractNumId w:val="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8B"/>
    <w:rsid w:val="00000DBB"/>
    <w:rsid w:val="00010FBF"/>
    <w:rsid w:val="0001153A"/>
    <w:rsid w:val="00015D98"/>
    <w:rsid w:val="00022426"/>
    <w:rsid w:val="0002256A"/>
    <w:rsid w:val="00022D96"/>
    <w:rsid w:val="00030819"/>
    <w:rsid w:val="00037EF4"/>
    <w:rsid w:val="00041B4C"/>
    <w:rsid w:val="00043999"/>
    <w:rsid w:val="00054495"/>
    <w:rsid w:val="000605A2"/>
    <w:rsid w:val="0006313B"/>
    <w:rsid w:val="00072381"/>
    <w:rsid w:val="00074ED9"/>
    <w:rsid w:val="00083C89"/>
    <w:rsid w:val="0008635C"/>
    <w:rsid w:val="00087E1D"/>
    <w:rsid w:val="00087F05"/>
    <w:rsid w:val="00091D8E"/>
    <w:rsid w:val="000B3383"/>
    <w:rsid w:val="000C12E7"/>
    <w:rsid w:val="000C4043"/>
    <w:rsid w:val="000C4C2B"/>
    <w:rsid w:val="000C560F"/>
    <w:rsid w:val="000C64F8"/>
    <w:rsid w:val="000E137C"/>
    <w:rsid w:val="000E6073"/>
    <w:rsid w:val="000F6C47"/>
    <w:rsid w:val="00101B76"/>
    <w:rsid w:val="0011796A"/>
    <w:rsid w:val="00122556"/>
    <w:rsid w:val="001362F6"/>
    <w:rsid w:val="001367A8"/>
    <w:rsid w:val="001377C4"/>
    <w:rsid w:val="00140EC3"/>
    <w:rsid w:val="00143F03"/>
    <w:rsid w:val="0014663A"/>
    <w:rsid w:val="00151D2E"/>
    <w:rsid w:val="0016227B"/>
    <w:rsid w:val="00170759"/>
    <w:rsid w:val="00176FFF"/>
    <w:rsid w:val="00177ACE"/>
    <w:rsid w:val="00180AFA"/>
    <w:rsid w:val="001851F4"/>
    <w:rsid w:val="00190F52"/>
    <w:rsid w:val="00192EF8"/>
    <w:rsid w:val="001A2778"/>
    <w:rsid w:val="001A65D2"/>
    <w:rsid w:val="001B163E"/>
    <w:rsid w:val="001B5CD5"/>
    <w:rsid w:val="001C3079"/>
    <w:rsid w:val="001C3895"/>
    <w:rsid w:val="001C3A4E"/>
    <w:rsid w:val="001C62CF"/>
    <w:rsid w:val="001C6966"/>
    <w:rsid w:val="001D1B31"/>
    <w:rsid w:val="001D79C4"/>
    <w:rsid w:val="001E1C3E"/>
    <w:rsid w:val="001E2A2C"/>
    <w:rsid w:val="001F124D"/>
    <w:rsid w:val="001F4B55"/>
    <w:rsid w:val="001F5C54"/>
    <w:rsid w:val="00206A52"/>
    <w:rsid w:val="002116EA"/>
    <w:rsid w:val="00212B17"/>
    <w:rsid w:val="00214831"/>
    <w:rsid w:val="00230890"/>
    <w:rsid w:val="002324CE"/>
    <w:rsid w:val="00235FED"/>
    <w:rsid w:val="00240E45"/>
    <w:rsid w:val="00256E79"/>
    <w:rsid w:val="00273099"/>
    <w:rsid w:val="00276931"/>
    <w:rsid w:val="002953A5"/>
    <w:rsid w:val="00295692"/>
    <w:rsid w:val="002A05FB"/>
    <w:rsid w:val="002A48A5"/>
    <w:rsid w:val="002A634F"/>
    <w:rsid w:val="002C5A6D"/>
    <w:rsid w:val="002D0F79"/>
    <w:rsid w:val="002E6524"/>
    <w:rsid w:val="002E6E18"/>
    <w:rsid w:val="002F1CEC"/>
    <w:rsid w:val="002F7C30"/>
    <w:rsid w:val="00304FDA"/>
    <w:rsid w:val="0030551D"/>
    <w:rsid w:val="00310983"/>
    <w:rsid w:val="00314EF1"/>
    <w:rsid w:val="003152E8"/>
    <w:rsid w:val="00315A5C"/>
    <w:rsid w:val="00316D5E"/>
    <w:rsid w:val="00327121"/>
    <w:rsid w:val="00327533"/>
    <w:rsid w:val="00341898"/>
    <w:rsid w:val="00342084"/>
    <w:rsid w:val="00342C15"/>
    <w:rsid w:val="00347513"/>
    <w:rsid w:val="003503BD"/>
    <w:rsid w:val="0035130F"/>
    <w:rsid w:val="0035613F"/>
    <w:rsid w:val="0035752D"/>
    <w:rsid w:val="00367866"/>
    <w:rsid w:val="00373060"/>
    <w:rsid w:val="003757A6"/>
    <w:rsid w:val="0038035F"/>
    <w:rsid w:val="0038118D"/>
    <w:rsid w:val="00384750"/>
    <w:rsid w:val="00396D39"/>
    <w:rsid w:val="003C31D2"/>
    <w:rsid w:val="003C7B62"/>
    <w:rsid w:val="003D1B4B"/>
    <w:rsid w:val="003D2384"/>
    <w:rsid w:val="003D3F7E"/>
    <w:rsid w:val="003D4EEF"/>
    <w:rsid w:val="003E2CC7"/>
    <w:rsid w:val="003F254E"/>
    <w:rsid w:val="003F365D"/>
    <w:rsid w:val="003F3ECB"/>
    <w:rsid w:val="003F6D30"/>
    <w:rsid w:val="00412F64"/>
    <w:rsid w:val="00446D6C"/>
    <w:rsid w:val="004571AB"/>
    <w:rsid w:val="00462E9D"/>
    <w:rsid w:val="00474ED8"/>
    <w:rsid w:val="0047625F"/>
    <w:rsid w:val="00476E10"/>
    <w:rsid w:val="004806EE"/>
    <w:rsid w:val="004808CF"/>
    <w:rsid w:val="00481A46"/>
    <w:rsid w:val="0049613E"/>
    <w:rsid w:val="004B43E1"/>
    <w:rsid w:val="004C116A"/>
    <w:rsid w:val="004C3070"/>
    <w:rsid w:val="004C37A0"/>
    <w:rsid w:val="004D31B5"/>
    <w:rsid w:val="004E088F"/>
    <w:rsid w:val="004E2C65"/>
    <w:rsid w:val="004E6651"/>
    <w:rsid w:val="004F0C7E"/>
    <w:rsid w:val="004F401F"/>
    <w:rsid w:val="005024DF"/>
    <w:rsid w:val="00522960"/>
    <w:rsid w:val="00525DDA"/>
    <w:rsid w:val="00527F82"/>
    <w:rsid w:val="0055684E"/>
    <w:rsid w:val="005624B4"/>
    <w:rsid w:val="00565F04"/>
    <w:rsid w:val="00566343"/>
    <w:rsid w:val="00571C54"/>
    <w:rsid w:val="00574397"/>
    <w:rsid w:val="00590CD4"/>
    <w:rsid w:val="00595F63"/>
    <w:rsid w:val="005A2F01"/>
    <w:rsid w:val="005C250F"/>
    <w:rsid w:val="005C4FED"/>
    <w:rsid w:val="005C733B"/>
    <w:rsid w:val="005D4612"/>
    <w:rsid w:val="005D78C3"/>
    <w:rsid w:val="005E295B"/>
    <w:rsid w:val="005F0EA5"/>
    <w:rsid w:val="005F4924"/>
    <w:rsid w:val="00600141"/>
    <w:rsid w:val="006306A4"/>
    <w:rsid w:val="00633614"/>
    <w:rsid w:val="00633C6E"/>
    <w:rsid w:val="00643C26"/>
    <w:rsid w:val="006509FF"/>
    <w:rsid w:val="00652606"/>
    <w:rsid w:val="00652E7D"/>
    <w:rsid w:val="006609BD"/>
    <w:rsid w:val="0066630F"/>
    <w:rsid w:val="00687B18"/>
    <w:rsid w:val="00693100"/>
    <w:rsid w:val="006A2E3C"/>
    <w:rsid w:val="006B3DCB"/>
    <w:rsid w:val="006B4DD5"/>
    <w:rsid w:val="006B6E67"/>
    <w:rsid w:val="006B7186"/>
    <w:rsid w:val="006D3FBA"/>
    <w:rsid w:val="006D4710"/>
    <w:rsid w:val="006D5616"/>
    <w:rsid w:val="006E2E6D"/>
    <w:rsid w:val="006E63E6"/>
    <w:rsid w:val="006F11C9"/>
    <w:rsid w:val="0070098D"/>
    <w:rsid w:val="00702B97"/>
    <w:rsid w:val="00702E75"/>
    <w:rsid w:val="00722166"/>
    <w:rsid w:val="007246D7"/>
    <w:rsid w:val="00726D83"/>
    <w:rsid w:val="00732DA1"/>
    <w:rsid w:val="00733199"/>
    <w:rsid w:val="00736A35"/>
    <w:rsid w:val="00742EA2"/>
    <w:rsid w:val="00747809"/>
    <w:rsid w:val="0075281E"/>
    <w:rsid w:val="00756136"/>
    <w:rsid w:val="0076095B"/>
    <w:rsid w:val="00762FD9"/>
    <w:rsid w:val="00775168"/>
    <w:rsid w:val="007764A9"/>
    <w:rsid w:val="00781591"/>
    <w:rsid w:val="00787870"/>
    <w:rsid w:val="00795C2C"/>
    <w:rsid w:val="007A6521"/>
    <w:rsid w:val="007B0562"/>
    <w:rsid w:val="007B4E75"/>
    <w:rsid w:val="007B52B3"/>
    <w:rsid w:val="007C0950"/>
    <w:rsid w:val="007C3585"/>
    <w:rsid w:val="007C38C4"/>
    <w:rsid w:val="007D162D"/>
    <w:rsid w:val="007D499E"/>
    <w:rsid w:val="007D5BA5"/>
    <w:rsid w:val="007E20ED"/>
    <w:rsid w:val="007F2E2E"/>
    <w:rsid w:val="007F4D6E"/>
    <w:rsid w:val="00800E15"/>
    <w:rsid w:val="00804031"/>
    <w:rsid w:val="00812005"/>
    <w:rsid w:val="0081593A"/>
    <w:rsid w:val="00817E3B"/>
    <w:rsid w:val="00834B1B"/>
    <w:rsid w:val="00834B91"/>
    <w:rsid w:val="00836995"/>
    <w:rsid w:val="00846ECF"/>
    <w:rsid w:val="00851F52"/>
    <w:rsid w:val="00856FF4"/>
    <w:rsid w:val="00863180"/>
    <w:rsid w:val="0086376E"/>
    <w:rsid w:val="00871A45"/>
    <w:rsid w:val="00873EBF"/>
    <w:rsid w:val="00876426"/>
    <w:rsid w:val="0088310C"/>
    <w:rsid w:val="00891B56"/>
    <w:rsid w:val="00897726"/>
    <w:rsid w:val="008B490F"/>
    <w:rsid w:val="008B6236"/>
    <w:rsid w:val="008C1154"/>
    <w:rsid w:val="008C14F7"/>
    <w:rsid w:val="008D1C08"/>
    <w:rsid w:val="008D6BEA"/>
    <w:rsid w:val="008E3F29"/>
    <w:rsid w:val="008F3E2E"/>
    <w:rsid w:val="008F7E44"/>
    <w:rsid w:val="00901CB1"/>
    <w:rsid w:val="0090471A"/>
    <w:rsid w:val="00905E4F"/>
    <w:rsid w:val="009107D8"/>
    <w:rsid w:val="009134BD"/>
    <w:rsid w:val="0091480F"/>
    <w:rsid w:val="009253E9"/>
    <w:rsid w:val="009323D6"/>
    <w:rsid w:val="00934B12"/>
    <w:rsid w:val="00934DCC"/>
    <w:rsid w:val="0094165F"/>
    <w:rsid w:val="0095430D"/>
    <w:rsid w:val="00955F8B"/>
    <w:rsid w:val="00961BB5"/>
    <w:rsid w:val="00962D9B"/>
    <w:rsid w:val="009639FA"/>
    <w:rsid w:val="0096588B"/>
    <w:rsid w:val="009675A7"/>
    <w:rsid w:val="009702E6"/>
    <w:rsid w:val="00997712"/>
    <w:rsid w:val="00997D1C"/>
    <w:rsid w:val="009A24E4"/>
    <w:rsid w:val="009A7AE8"/>
    <w:rsid w:val="009B1A9D"/>
    <w:rsid w:val="009B1AF7"/>
    <w:rsid w:val="009B7661"/>
    <w:rsid w:val="009D0646"/>
    <w:rsid w:val="009D0BB5"/>
    <w:rsid w:val="009D29BE"/>
    <w:rsid w:val="009E2C60"/>
    <w:rsid w:val="009F3560"/>
    <w:rsid w:val="009F74B6"/>
    <w:rsid w:val="00A05A88"/>
    <w:rsid w:val="00A068AB"/>
    <w:rsid w:val="00A20A29"/>
    <w:rsid w:val="00A229E8"/>
    <w:rsid w:val="00A3339A"/>
    <w:rsid w:val="00A562E2"/>
    <w:rsid w:val="00A71E44"/>
    <w:rsid w:val="00A72973"/>
    <w:rsid w:val="00A76861"/>
    <w:rsid w:val="00A84194"/>
    <w:rsid w:val="00AA6A5C"/>
    <w:rsid w:val="00AC203B"/>
    <w:rsid w:val="00AC5460"/>
    <w:rsid w:val="00AC77AA"/>
    <w:rsid w:val="00AD0233"/>
    <w:rsid w:val="00AE173C"/>
    <w:rsid w:val="00AE230A"/>
    <w:rsid w:val="00AF5597"/>
    <w:rsid w:val="00B02F9F"/>
    <w:rsid w:val="00B14120"/>
    <w:rsid w:val="00B178E5"/>
    <w:rsid w:val="00B22080"/>
    <w:rsid w:val="00B3684E"/>
    <w:rsid w:val="00B42D0B"/>
    <w:rsid w:val="00B44E75"/>
    <w:rsid w:val="00B54C04"/>
    <w:rsid w:val="00B62412"/>
    <w:rsid w:val="00B80890"/>
    <w:rsid w:val="00B8215B"/>
    <w:rsid w:val="00B85D2C"/>
    <w:rsid w:val="00B871A7"/>
    <w:rsid w:val="00B9277D"/>
    <w:rsid w:val="00B94541"/>
    <w:rsid w:val="00BA6D76"/>
    <w:rsid w:val="00BC533C"/>
    <w:rsid w:val="00BC5D91"/>
    <w:rsid w:val="00BD0100"/>
    <w:rsid w:val="00BD40E9"/>
    <w:rsid w:val="00BD7DF5"/>
    <w:rsid w:val="00BE5CE2"/>
    <w:rsid w:val="00BF1CC6"/>
    <w:rsid w:val="00C03BCE"/>
    <w:rsid w:val="00C051C6"/>
    <w:rsid w:val="00C06A81"/>
    <w:rsid w:val="00C077C6"/>
    <w:rsid w:val="00C10C83"/>
    <w:rsid w:val="00C20776"/>
    <w:rsid w:val="00C21719"/>
    <w:rsid w:val="00C2484F"/>
    <w:rsid w:val="00C25F2A"/>
    <w:rsid w:val="00C27607"/>
    <w:rsid w:val="00C37579"/>
    <w:rsid w:val="00C42293"/>
    <w:rsid w:val="00C509CB"/>
    <w:rsid w:val="00C56717"/>
    <w:rsid w:val="00C612DE"/>
    <w:rsid w:val="00C7265F"/>
    <w:rsid w:val="00C726EC"/>
    <w:rsid w:val="00C813C4"/>
    <w:rsid w:val="00C81BF9"/>
    <w:rsid w:val="00C8203E"/>
    <w:rsid w:val="00C824E4"/>
    <w:rsid w:val="00C92F39"/>
    <w:rsid w:val="00C963B6"/>
    <w:rsid w:val="00CA5658"/>
    <w:rsid w:val="00CC0A55"/>
    <w:rsid w:val="00CC203E"/>
    <w:rsid w:val="00CD4800"/>
    <w:rsid w:val="00CD56DD"/>
    <w:rsid w:val="00CF3B6A"/>
    <w:rsid w:val="00CF7E49"/>
    <w:rsid w:val="00D075E8"/>
    <w:rsid w:val="00D10D4F"/>
    <w:rsid w:val="00D12CCA"/>
    <w:rsid w:val="00D14859"/>
    <w:rsid w:val="00D20485"/>
    <w:rsid w:val="00D206C0"/>
    <w:rsid w:val="00D23A9A"/>
    <w:rsid w:val="00D24FDC"/>
    <w:rsid w:val="00D26F10"/>
    <w:rsid w:val="00D27B64"/>
    <w:rsid w:val="00D3057B"/>
    <w:rsid w:val="00D3208B"/>
    <w:rsid w:val="00D32D52"/>
    <w:rsid w:val="00D342A5"/>
    <w:rsid w:val="00D35AE8"/>
    <w:rsid w:val="00D429F2"/>
    <w:rsid w:val="00D435B2"/>
    <w:rsid w:val="00D52651"/>
    <w:rsid w:val="00D57460"/>
    <w:rsid w:val="00D61195"/>
    <w:rsid w:val="00D7127E"/>
    <w:rsid w:val="00D739EF"/>
    <w:rsid w:val="00D753E6"/>
    <w:rsid w:val="00D83A3D"/>
    <w:rsid w:val="00D85A39"/>
    <w:rsid w:val="00D8769D"/>
    <w:rsid w:val="00D939AB"/>
    <w:rsid w:val="00D96C0A"/>
    <w:rsid w:val="00D97F05"/>
    <w:rsid w:val="00DA20B0"/>
    <w:rsid w:val="00DC4EE2"/>
    <w:rsid w:val="00DE2541"/>
    <w:rsid w:val="00DF4716"/>
    <w:rsid w:val="00E0110D"/>
    <w:rsid w:val="00E029BA"/>
    <w:rsid w:val="00E04AE6"/>
    <w:rsid w:val="00E147C4"/>
    <w:rsid w:val="00E17040"/>
    <w:rsid w:val="00E232C5"/>
    <w:rsid w:val="00E247E9"/>
    <w:rsid w:val="00E34DE7"/>
    <w:rsid w:val="00E45400"/>
    <w:rsid w:val="00E45DC9"/>
    <w:rsid w:val="00E47119"/>
    <w:rsid w:val="00E518D9"/>
    <w:rsid w:val="00E707B8"/>
    <w:rsid w:val="00E9184A"/>
    <w:rsid w:val="00EA2766"/>
    <w:rsid w:val="00EA352F"/>
    <w:rsid w:val="00EA37D5"/>
    <w:rsid w:val="00EA3F7A"/>
    <w:rsid w:val="00EB7433"/>
    <w:rsid w:val="00EC48CB"/>
    <w:rsid w:val="00EC572A"/>
    <w:rsid w:val="00EE35A7"/>
    <w:rsid w:val="00EE7411"/>
    <w:rsid w:val="00EF4A2E"/>
    <w:rsid w:val="00EF5350"/>
    <w:rsid w:val="00F0296E"/>
    <w:rsid w:val="00F057B9"/>
    <w:rsid w:val="00F16C4B"/>
    <w:rsid w:val="00F179CA"/>
    <w:rsid w:val="00F20B05"/>
    <w:rsid w:val="00F374BF"/>
    <w:rsid w:val="00F434A8"/>
    <w:rsid w:val="00F6149E"/>
    <w:rsid w:val="00F71824"/>
    <w:rsid w:val="00F82007"/>
    <w:rsid w:val="00F83A20"/>
    <w:rsid w:val="00F85B09"/>
    <w:rsid w:val="00F86348"/>
    <w:rsid w:val="00F864DC"/>
    <w:rsid w:val="00F96F78"/>
    <w:rsid w:val="00FB3E1F"/>
    <w:rsid w:val="00FB5229"/>
    <w:rsid w:val="00FB62DC"/>
    <w:rsid w:val="00FC1935"/>
    <w:rsid w:val="00FC76BE"/>
    <w:rsid w:val="00FD0280"/>
    <w:rsid w:val="00FD10C9"/>
    <w:rsid w:val="00FE527C"/>
    <w:rsid w:val="00FE66B9"/>
    <w:rsid w:val="00FE7910"/>
    <w:rsid w:val="00FF4631"/>
    <w:rsid w:val="00FF6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DE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8B"/>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588B"/>
    <w:rPr>
      <w:color w:val="0000FF"/>
      <w:u w:val="single"/>
    </w:rPr>
  </w:style>
  <w:style w:type="paragraph" w:styleId="EndnoteText">
    <w:name w:val="endnote text"/>
    <w:basedOn w:val="Normal"/>
    <w:link w:val="EndnoteTextChar"/>
    <w:uiPriority w:val="99"/>
    <w:semiHidden/>
    <w:rsid w:val="0096588B"/>
    <w:pPr>
      <w:widowControl w:val="0"/>
    </w:pPr>
    <w:rPr>
      <w:rFonts w:ascii="Corporate" w:hAnsi="Corporate"/>
      <w:lang w:val="x-none" w:eastAsia="x-none"/>
    </w:rPr>
  </w:style>
  <w:style w:type="character" w:customStyle="1" w:styleId="EndnoteTextChar">
    <w:name w:val="Endnote Text Char"/>
    <w:link w:val="EndnoteText"/>
    <w:uiPriority w:val="99"/>
    <w:semiHidden/>
    <w:rsid w:val="0096588B"/>
    <w:rPr>
      <w:rFonts w:ascii="Corporate" w:eastAsia="Times New Roman" w:hAnsi="Corporate" w:cs="Times New Roman"/>
      <w:sz w:val="24"/>
      <w:szCs w:val="20"/>
    </w:rPr>
  </w:style>
  <w:style w:type="paragraph" w:styleId="BalloonText">
    <w:name w:val="Balloon Text"/>
    <w:basedOn w:val="Normal"/>
    <w:link w:val="BalloonTextChar"/>
    <w:uiPriority w:val="99"/>
    <w:semiHidden/>
    <w:unhideWhenUsed/>
    <w:rsid w:val="0096588B"/>
    <w:rPr>
      <w:rFonts w:ascii="Tahoma" w:hAnsi="Tahoma"/>
      <w:sz w:val="16"/>
      <w:szCs w:val="16"/>
      <w:lang w:val="x-none" w:eastAsia="x-none"/>
    </w:rPr>
  </w:style>
  <w:style w:type="character" w:customStyle="1" w:styleId="BalloonTextChar">
    <w:name w:val="Balloon Text Char"/>
    <w:link w:val="BalloonText"/>
    <w:uiPriority w:val="99"/>
    <w:semiHidden/>
    <w:rsid w:val="0096588B"/>
    <w:rPr>
      <w:rFonts w:ascii="Tahoma" w:eastAsia="Times New Roman" w:hAnsi="Tahoma" w:cs="Tahoma"/>
      <w:sz w:val="16"/>
      <w:szCs w:val="16"/>
    </w:rPr>
  </w:style>
  <w:style w:type="paragraph" w:styleId="NormalWeb">
    <w:name w:val="Normal (Web)"/>
    <w:basedOn w:val="Normal"/>
    <w:uiPriority w:val="99"/>
    <w:unhideWhenUsed/>
    <w:rsid w:val="00744AEE"/>
    <w:pPr>
      <w:spacing w:before="100" w:beforeAutospacing="1" w:after="100" w:afterAutospacing="1"/>
    </w:pPr>
    <w:rPr>
      <w:szCs w:val="24"/>
    </w:rPr>
  </w:style>
  <w:style w:type="character" w:styleId="FollowedHyperlink">
    <w:name w:val="FollowedHyperlink"/>
    <w:uiPriority w:val="99"/>
    <w:semiHidden/>
    <w:unhideWhenUsed/>
    <w:rsid w:val="00800E15"/>
    <w:rPr>
      <w:color w:val="800080"/>
      <w:u w:val="single"/>
    </w:rPr>
  </w:style>
  <w:style w:type="character" w:styleId="CommentReference">
    <w:name w:val="annotation reference"/>
    <w:uiPriority w:val="99"/>
    <w:semiHidden/>
    <w:unhideWhenUsed/>
    <w:rsid w:val="00901CB1"/>
    <w:rPr>
      <w:sz w:val="16"/>
      <w:szCs w:val="16"/>
    </w:rPr>
  </w:style>
  <w:style w:type="paragraph" w:styleId="CommentText">
    <w:name w:val="annotation text"/>
    <w:basedOn w:val="Normal"/>
    <w:link w:val="CommentTextChar"/>
    <w:uiPriority w:val="99"/>
    <w:semiHidden/>
    <w:unhideWhenUsed/>
    <w:rsid w:val="00901CB1"/>
    <w:rPr>
      <w:sz w:val="20"/>
    </w:rPr>
  </w:style>
  <w:style w:type="character" w:customStyle="1" w:styleId="CommentTextChar">
    <w:name w:val="Comment Text Char"/>
    <w:link w:val="CommentText"/>
    <w:uiPriority w:val="99"/>
    <w:semiHidden/>
    <w:rsid w:val="00901CB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1CB1"/>
    <w:rPr>
      <w:b/>
      <w:bCs/>
    </w:rPr>
  </w:style>
  <w:style w:type="character" w:customStyle="1" w:styleId="CommentSubjectChar">
    <w:name w:val="Comment Subject Char"/>
    <w:link w:val="CommentSubject"/>
    <w:uiPriority w:val="99"/>
    <w:semiHidden/>
    <w:rsid w:val="00901CB1"/>
    <w:rPr>
      <w:rFonts w:ascii="Times New Roman" w:eastAsia="Times New Roman" w:hAnsi="Times New Roman"/>
      <w:b/>
      <w:bCs/>
    </w:rPr>
  </w:style>
  <w:style w:type="character" w:customStyle="1" w:styleId="apple-converted-space">
    <w:name w:val="apple-converted-space"/>
    <w:rsid w:val="005E295B"/>
  </w:style>
  <w:style w:type="paragraph" w:styleId="Header">
    <w:name w:val="header"/>
    <w:basedOn w:val="Normal"/>
    <w:link w:val="HeaderChar"/>
    <w:uiPriority w:val="99"/>
    <w:unhideWhenUsed/>
    <w:rsid w:val="00F96F78"/>
    <w:pPr>
      <w:tabs>
        <w:tab w:val="center" w:pos="4320"/>
        <w:tab w:val="right" w:pos="8640"/>
      </w:tabs>
    </w:pPr>
  </w:style>
  <w:style w:type="character" w:customStyle="1" w:styleId="HeaderChar">
    <w:name w:val="Header Char"/>
    <w:basedOn w:val="DefaultParagraphFont"/>
    <w:link w:val="Header"/>
    <w:uiPriority w:val="99"/>
    <w:rsid w:val="00F96F78"/>
    <w:rPr>
      <w:rFonts w:ascii="Times New Roman" w:eastAsia="Times New Roman" w:hAnsi="Times New Roman"/>
      <w:sz w:val="24"/>
    </w:rPr>
  </w:style>
  <w:style w:type="paragraph" w:styleId="Footer">
    <w:name w:val="footer"/>
    <w:basedOn w:val="Normal"/>
    <w:link w:val="FooterChar"/>
    <w:uiPriority w:val="99"/>
    <w:unhideWhenUsed/>
    <w:rsid w:val="00F96F78"/>
    <w:pPr>
      <w:tabs>
        <w:tab w:val="center" w:pos="4320"/>
        <w:tab w:val="right" w:pos="8640"/>
      </w:tabs>
    </w:pPr>
  </w:style>
  <w:style w:type="character" w:customStyle="1" w:styleId="FooterChar">
    <w:name w:val="Footer Char"/>
    <w:basedOn w:val="DefaultParagraphFont"/>
    <w:link w:val="Footer"/>
    <w:uiPriority w:val="99"/>
    <w:rsid w:val="00F96F78"/>
    <w:rPr>
      <w:rFonts w:ascii="Times New Roman" w:eastAsia="Times New Roman" w:hAnsi="Times New Roman"/>
      <w:sz w:val="24"/>
    </w:rPr>
  </w:style>
  <w:style w:type="paragraph" w:styleId="ListParagraph">
    <w:name w:val="List Paragraph"/>
    <w:basedOn w:val="Normal"/>
    <w:uiPriority w:val="34"/>
    <w:qFormat/>
    <w:rsid w:val="00037EF4"/>
    <w:pPr>
      <w:ind w:left="720"/>
      <w:contextualSpacing/>
    </w:pPr>
    <w:rPr>
      <w:rFonts w:ascii="Arial" w:eastAsiaTheme="minorEastAsia" w:hAnsi="Arial" w:cs="Arial"/>
      <w:sz w:val="22"/>
      <w:szCs w:val="22"/>
      <w:lang w:eastAsia="ja-JP"/>
    </w:rPr>
  </w:style>
  <w:style w:type="paragraph" w:styleId="Revision">
    <w:name w:val="Revision"/>
    <w:hidden/>
    <w:uiPriority w:val="71"/>
    <w:rsid w:val="00F434A8"/>
    <w:rPr>
      <w:rFonts w:ascii="Times New Roman" w:eastAsia="Times New Roman" w:hAnsi="Times New Roman"/>
      <w:sz w:val="24"/>
    </w:rPr>
  </w:style>
  <w:style w:type="character" w:styleId="Strong">
    <w:name w:val="Strong"/>
    <w:basedOn w:val="DefaultParagraphFont"/>
    <w:uiPriority w:val="22"/>
    <w:qFormat/>
    <w:rsid w:val="00702B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8B"/>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588B"/>
    <w:rPr>
      <w:color w:val="0000FF"/>
      <w:u w:val="single"/>
    </w:rPr>
  </w:style>
  <w:style w:type="paragraph" w:styleId="EndnoteText">
    <w:name w:val="endnote text"/>
    <w:basedOn w:val="Normal"/>
    <w:link w:val="EndnoteTextChar"/>
    <w:uiPriority w:val="99"/>
    <w:semiHidden/>
    <w:rsid w:val="0096588B"/>
    <w:pPr>
      <w:widowControl w:val="0"/>
    </w:pPr>
    <w:rPr>
      <w:rFonts w:ascii="Corporate" w:hAnsi="Corporate"/>
      <w:lang w:val="x-none" w:eastAsia="x-none"/>
    </w:rPr>
  </w:style>
  <w:style w:type="character" w:customStyle="1" w:styleId="EndnoteTextChar">
    <w:name w:val="Endnote Text Char"/>
    <w:link w:val="EndnoteText"/>
    <w:uiPriority w:val="99"/>
    <w:semiHidden/>
    <w:rsid w:val="0096588B"/>
    <w:rPr>
      <w:rFonts w:ascii="Corporate" w:eastAsia="Times New Roman" w:hAnsi="Corporate" w:cs="Times New Roman"/>
      <w:sz w:val="24"/>
      <w:szCs w:val="20"/>
    </w:rPr>
  </w:style>
  <w:style w:type="paragraph" w:styleId="BalloonText">
    <w:name w:val="Balloon Text"/>
    <w:basedOn w:val="Normal"/>
    <w:link w:val="BalloonTextChar"/>
    <w:uiPriority w:val="99"/>
    <w:semiHidden/>
    <w:unhideWhenUsed/>
    <w:rsid w:val="0096588B"/>
    <w:rPr>
      <w:rFonts w:ascii="Tahoma" w:hAnsi="Tahoma"/>
      <w:sz w:val="16"/>
      <w:szCs w:val="16"/>
      <w:lang w:val="x-none" w:eastAsia="x-none"/>
    </w:rPr>
  </w:style>
  <w:style w:type="character" w:customStyle="1" w:styleId="BalloonTextChar">
    <w:name w:val="Balloon Text Char"/>
    <w:link w:val="BalloonText"/>
    <w:uiPriority w:val="99"/>
    <w:semiHidden/>
    <w:rsid w:val="0096588B"/>
    <w:rPr>
      <w:rFonts w:ascii="Tahoma" w:eastAsia="Times New Roman" w:hAnsi="Tahoma" w:cs="Tahoma"/>
      <w:sz w:val="16"/>
      <w:szCs w:val="16"/>
    </w:rPr>
  </w:style>
  <w:style w:type="paragraph" w:styleId="NormalWeb">
    <w:name w:val="Normal (Web)"/>
    <w:basedOn w:val="Normal"/>
    <w:uiPriority w:val="99"/>
    <w:unhideWhenUsed/>
    <w:rsid w:val="00744AEE"/>
    <w:pPr>
      <w:spacing w:before="100" w:beforeAutospacing="1" w:after="100" w:afterAutospacing="1"/>
    </w:pPr>
    <w:rPr>
      <w:szCs w:val="24"/>
    </w:rPr>
  </w:style>
  <w:style w:type="character" w:styleId="FollowedHyperlink">
    <w:name w:val="FollowedHyperlink"/>
    <w:uiPriority w:val="99"/>
    <w:semiHidden/>
    <w:unhideWhenUsed/>
    <w:rsid w:val="00800E15"/>
    <w:rPr>
      <w:color w:val="800080"/>
      <w:u w:val="single"/>
    </w:rPr>
  </w:style>
  <w:style w:type="character" w:styleId="CommentReference">
    <w:name w:val="annotation reference"/>
    <w:uiPriority w:val="99"/>
    <w:semiHidden/>
    <w:unhideWhenUsed/>
    <w:rsid w:val="00901CB1"/>
    <w:rPr>
      <w:sz w:val="16"/>
      <w:szCs w:val="16"/>
    </w:rPr>
  </w:style>
  <w:style w:type="paragraph" w:styleId="CommentText">
    <w:name w:val="annotation text"/>
    <w:basedOn w:val="Normal"/>
    <w:link w:val="CommentTextChar"/>
    <w:uiPriority w:val="99"/>
    <w:semiHidden/>
    <w:unhideWhenUsed/>
    <w:rsid w:val="00901CB1"/>
    <w:rPr>
      <w:sz w:val="20"/>
    </w:rPr>
  </w:style>
  <w:style w:type="character" w:customStyle="1" w:styleId="CommentTextChar">
    <w:name w:val="Comment Text Char"/>
    <w:link w:val="CommentText"/>
    <w:uiPriority w:val="99"/>
    <w:semiHidden/>
    <w:rsid w:val="00901CB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1CB1"/>
    <w:rPr>
      <w:b/>
      <w:bCs/>
    </w:rPr>
  </w:style>
  <w:style w:type="character" w:customStyle="1" w:styleId="CommentSubjectChar">
    <w:name w:val="Comment Subject Char"/>
    <w:link w:val="CommentSubject"/>
    <w:uiPriority w:val="99"/>
    <w:semiHidden/>
    <w:rsid w:val="00901CB1"/>
    <w:rPr>
      <w:rFonts w:ascii="Times New Roman" w:eastAsia="Times New Roman" w:hAnsi="Times New Roman"/>
      <w:b/>
      <w:bCs/>
    </w:rPr>
  </w:style>
  <w:style w:type="character" w:customStyle="1" w:styleId="apple-converted-space">
    <w:name w:val="apple-converted-space"/>
    <w:rsid w:val="005E295B"/>
  </w:style>
  <w:style w:type="paragraph" w:styleId="Header">
    <w:name w:val="header"/>
    <w:basedOn w:val="Normal"/>
    <w:link w:val="HeaderChar"/>
    <w:uiPriority w:val="99"/>
    <w:unhideWhenUsed/>
    <w:rsid w:val="00F96F78"/>
    <w:pPr>
      <w:tabs>
        <w:tab w:val="center" w:pos="4320"/>
        <w:tab w:val="right" w:pos="8640"/>
      </w:tabs>
    </w:pPr>
  </w:style>
  <w:style w:type="character" w:customStyle="1" w:styleId="HeaderChar">
    <w:name w:val="Header Char"/>
    <w:basedOn w:val="DefaultParagraphFont"/>
    <w:link w:val="Header"/>
    <w:uiPriority w:val="99"/>
    <w:rsid w:val="00F96F78"/>
    <w:rPr>
      <w:rFonts w:ascii="Times New Roman" w:eastAsia="Times New Roman" w:hAnsi="Times New Roman"/>
      <w:sz w:val="24"/>
    </w:rPr>
  </w:style>
  <w:style w:type="paragraph" w:styleId="Footer">
    <w:name w:val="footer"/>
    <w:basedOn w:val="Normal"/>
    <w:link w:val="FooterChar"/>
    <w:uiPriority w:val="99"/>
    <w:unhideWhenUsed/>
    <w:rsid w:val="00F96F78"/>
    <w:pPr>
      <w:tabs>
        <w:tab w:val="center" w:pos="4320"/>
        <w:tab w:val="right" w:pos="8640"/>
      </w:tabs>
    </w:pPr>
  </w:style>
  <w:style w:type="character" w:customStyle="1" w:styleId="FooterChar">
    <w:name w:val="Footer Char"/>
    <w:basedOn w:val="DefaultParagraphFont"/>
    <w:link w:val="Footer"/>
    <w:uiPriority w:val="99"/>
    <w:rsid w:val="00F96F78"/>
    <w:rPr>
      <w:rFonts w:ascii="Times New Roman" w:eastAsia="Times New Roman" w:hAnsi="Times New Roman"/>
      <w:sz w:val="24"/>
    </w:rPr>
  </w:style>
  <w:style w:type="paragraph" w:styleId="ListParagraph">
    <w:name w:val="List Paragraph"/>
    <w:basedOn w:val="Normal"/>
    <w:uiPriority w:val="34"/>
    <w:qFormat/>
    <w:rsid w:val="00037EF4"/>
    <w:pPr>
      <w:ind w:left="720"/>
      <w:contextualSpacing/>
    </w:pPr>
    <w:rPr>
      <w:rFonts w:ascii="Arial" w:eastAsiaTheme="minorEastAsia" w:hAnsi="Arial" w:cs="Arial"/>
      <w:sz w:val="22"/>
      <w:szCs w:val="22"/>
      <w:lang w:eastAsia="ja-JP"/>
    </w:rPr>
  </w:style>
  <w:style w:type="paragraph" w:styleId="Revision">
    <w:name w:val="Revision"/>
    <w:hidden/>
    <w:uiPriority w:val="71"/>
    <w:rsid w:val="00F434A8"/>
    <w:rPr>
      <w:rFonts w:ascii="Times New Roman" w:eastAsia="Times New Roman" w:hAnsi="Times New Roman"/>
      <w:sz w:val="24"/>
    </w:rPr>
  </w:style>
  <w:style w:type="character" w:styleId="Strong">
    <w:name w:val="Strong"/>
    <w:basedOn w:val="DefaultParagraphFont"/>
    <w:uiPriority w:val="22"/>
    <w:qFormat/>
    <w:rsid w:val="00702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29">
      <w:bodyDiv w:val="1"/>
      <w:marLeft w:val="0"/>
      <w:marRight w:val="0"/>
      <w:marTop w:val="0"/>
      <w:marBottom w:val="0"/>
      <w:divBdr>
        <w:top w:val="none" w:sz="0" w:space="0" w:color="auto"/>
        <w:left w:val="none" w:sz="0" w:space="0" w:color="auto"/>
        <w:bottom w:val="none" w:sz="0" w:space="0" w:color="auto"/>
        <w:right w:val="none" w:sz="0" w:space="0" w:color="auto"/>
      </w:divBdr>
    </w:div>
    <w:div w:id="138421502">
      <w:bodyDiv w:val="1"/>
      <w:marLeft w:val="0"/>
      <w:marRight w:val="0"/>
      <w:marTop w:val="0"/>
      <w:marBottom w:val="0"/>
      <w:divBdr>
        <w:top w:val="none" w:sz="0" w:space="0" w:color="auto"/>
        <w:left w:val="none" w:sz="0" w:space="0" w:color="auto"/>
        <w:bottom w:val="none" w:sz="0" w:space="0" w:color="auto"/>
        <w:right w:val="none" w:sz="0" w:space="0" w:color="auto"/>
      </w:divBdr>
    </w:div>
    <w:div w:id="241764094">
      <w:bodyDiv w:val="1"/>
      <w:marLeft w:val="0"/>
      <w:marRight w:val="0"/>
      <w:marTop w:val="0"/>
      <w:marBottom w:val="0"/>
      <w:divBdr>
        <w:top w:val="none" w:sz="0" w:space="0" w:color="auto"/>
        <w:left w:val="none" w:sz="0" w:space="0" w:color="auto"/>
        <w:bottom w:val="none" w:sz="0" w:space="0" w:color="auto"/>
        <w:right w:val="none" w:sz="0" w:space="0" w:color="auto"/>
      </w:divBdr>
    </w:div>
    <w:div w:id="496851538">
      <w:bodyDiv w:val="1"/>
      <w:marLeft w:val="0"/>
      <w:marRight w:val="0"/>
      <w:marTop w:val="0"/>
      <w:marBottom w:val="0"/>
      <w:divBdr>
        <w:top w:val="none" w:sz="0" w:space="0" w:color="auto"/>
        <w:left w:val="none" w:sz="0" w:space="0" w:color="auto"/>
        <w:bottom w:val="none" w:sz="0" w:space="0" w:color="auto"/>
        <w:right w:val="none" w:sz="0" w:space="0" w:color="auto"/>
      </w:divBdr>
      <w:divsChild>
        <w:div w:id="925500667">
          <w:marLeft w:val="0"/>
          <w:marRight w:val="0"/>
          <w:marTop w:val="100"/>
          <w:marBottom w:val="300"/>
          <w:divBdr>
            <w:top w:val="none" w:sz="0" w:space="0" w:color="auto"/>
            <w:left w:val="none" w:sz="0" w:space="0" w:color="auto"/>
            <w:bottom w:val="none" w:sz="0" w:space="0" w:color="auto"/>
            <w:right w:val="none" w:sz="0" w:space="0" w:color="auto"/>
          </w:divBdr>
          <w:divsChild>
            <w:div w:id="496848322">
              <w:marLeft w:val="0"/>
              <w:marRight w:val="0"/>
              <w:marTop w:val="525"/>
              <w:marBottom w:val="0"/>
              <w:divBdr>
                <w:top w:val="none" w:sz="0" w:space="0" w:color="auto"/>
                <w:left w:val="none" w:sz="0" w:space="0" w:color="auto"/>
                <w:bottom w:val="none" w:sz="0" w:space="0" w:color="auto"/>
                <w:right w:val="none" w:sz="0" w:space="0" w:color="auto"/>
              </w:divBdr>
              <w:divsChild>
                <w:div w:id="890649278">
                  <w:marLeft w:val="-6000"/>
                  <w:marRight w:val="0"/>
                  <w:marTop w:val="0"/>
                  <w:marBottom w:val="0"/>
                  <w:divBdr>
                    <w:top w:val="none" w:sz="0" w:space="0" w:color="auto"/>
                    <w:left w:val="none" w:sz="0" w:space="0" w:color="auto"/>
                    <w:bottom w:val="none" w:sz="0" w:space="0" w:color="auto"/>
                    <w:right w:val="none" w:sz="0" w:space="0" w:color="auto"/>
                  </w:divBdr>
                  <w:divsChild>
                    <w:div w:id="573245038">
                      <w:marLeft w:val="5778"/>
                      <w:marRight w:val="0"/>
                      <w:marTop w:val="0"/>
                      <w:marBottom w:val="0"/>
                      <w:divBdr>
                        <w:top w:val="none" w:sz="0" w:space="0" w:color="auto"/>
                        <w:left w:val="none" w:sz="0" w:space="0" w:color="auto"/>
                        <w:bottom w:val="none" w:sz="0" w:space="0" w:color="auto"/>
                        <w:right w:val="none" w:sz="0" w:space="0" w:color="auto"/>
                      </w:divBdr>
                      <w:divsChild>
                        <w:div w:id="668826737">
                          <w:marLeft w:val="0"/>
                          <w:marRight w:val="0"/>
                          <w:marTop w:val="0"/>
                          <w:marBottom w:val="0"/>
                          <w:divBdr>
                            <w:top w:val="none" w:sz="0" w:space="0" w:color="auto"/>
                            <w:left w:val="none" w:sz="0" w:space="0" w:color="auto"/>
                            <w:bottom w:val="none" w:sz="0" w:space="0" w:color="auto"/>
                            <w:right w:val="none" w:sz="0" w:space="0" w:color="auto"/>
                          </w:divBdr>
                          <w:divsChild>
                            <w:div w:id="1484932382">
                              <w:marLeft w:val="0"/>
                              <w:marRight w:val="0"/>
                              <w:marTop w:val="0"/>
                              <w:marBottom w:val="0"/>
                              <w:divBdr>
                                <w:top w:val="none" w:sz="0" w:space="0" w:color="auto"/>
                                <w:left w:val="none" w:sz="0" w:space="0" w:color="auto"/>
                                <w:bottom w:val="none" w:sz="0" w:space="0" w:color="auto"/>
                                <w:right w:val="none" w:sz="0" w:space="0" w:color="auto"/>
                              </w:divBdr>
                              <w:divsChild>
                                <w:div w:id="18867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933523">
      <w:bodyDiv w:val="1"/>
      <w:marLeft w:val="0"/>
      <w:marRight w:val="0"/>
      <w:marTop w:val="0"/>
      <w:marBottom w:val="0"/>
      <w:divBdr>
        <w:top w:val="none" w:sz="0" w:space="0" w:color="auto"/>
        <w:left w:val="none" w:sz="0" w:space="0" w:color="auto"/>
        <w:bottom w:val="none" w:sz="0" w:space="0" w:color="auto"/>
        <w:right w:val="none" w:sz="0" w:space="0" w:color="auto"/>
      </w:divBdr>
    </w:div>
    <w:div w:id="1004284711">
      <w:bodyDiv w:val="1"/>
      <w:marLeft w:val="0"/>
      <w:marRight w:val="0"/>
      <w:marTop w:val="0"/>
      <w:marBottom w:val="0"/>
      <w:divBdr>
        <w:top w:val="none" w:sz="0" w:space="0" w:color="auto"/>
        <w:left w:val="none" w:sz="0" w:space="0" w:color="auto"/>
        <w:bottom w:val="none" w:sz="0" w:space="0" w:color="auto"/>
        <w:right w:val="none" w:sz="0" w:space="0" w:color="auto"/>
      </w:divBdr>
    </w:div>
    <w:div w:id="1421685022">
      <w:bodyDiv w:val="1"/>
      <w:marLeft w:val="0"/>
      <w:marRight w:val="0"/>
      <w:marTop w:val="0"/>
      <w:marBottom w:val="0"/>
      <w:divBdr>
        <w:top w:val="none" w:sz="0" w:space="0" w:color="auto"/>
        <w:left w:val="none" w:sz="0" w:space="0" w:color="auto"/>
        <w:bottom w:val="none" w:sz="0" w:space="0" w:color="auto"/>
        <w:right w:val="none" w:sz="0" w:space="0" w:color="auto"/>
      </w:divBdr>
    </w:div>
    <w:div w:id="1507867749">
      <w:bodyDiv w:val="1"/>
      <w:marLeft w:val="0"/>
      <w:marRight w:val="0"/>
      <w:marTop w:val="0"/>
      <w:marBottom w:val="0"/>
      <w:divBdr>
        <w:top w:val="none" w:sz="0" w:space="0" w:color="auto"/>
        <w:left w:val="none" w:sz="0" w:space="0" w:color="auto"/>
        <w:bottom w:val="none" w:sz="0" w:space="0" w:color="auto"/>
        <w:right w:val="none" w:sz="0" w:space="0" w:color="auto"/>
      </w:divBdr>
    </w:div>
    <w:div w:id="1640183458">
      <w:bodyDiv w:val="1"/>
      <w:marLeft w:val="0"/>
      <w:marRight w:val="0"/>
      <w:marTop w:val="0"/>
      <w:marBottom w:val="0"/>
      <w:divBdr>
        <w:top w:val="none" w:sz="0" w:space="0" w:color="auto"/>
        <w:left w:val="none" w:sz="0" w:space="0" w:color="auto"/>
        <w:bottom w:val="none" w:sz="0" w:space="0" w:color="auto"/>
        <w:right w:val="none" w:sz="0" w:space="0" w:color="auto"/>
      </w:divBdr>
      <w:divsChild>
        <w:div w:id="1810704005">
          <w:marLeft w:val="0"/>
          <w:marRight w:val="0"/>
          <w:marTop w:val="100"/>
          <w:marBottom w:val="240"/>
          <w:divBdr>
            <w:top w:val="none" w:sz="0" w:space="0" w:color="auto"/>
            <w:left w:val="none" w:sz="0" w:space="0" w:color="auto"/>
            <w:bottom w:val="none" w:sz="0" w:space="0" w:color="auto"/>
            <w:right w:val="none" w:sz="0" w:space="0" w:color="auto"/>
          </w:divBdr>
          <w:divsChild>
            <w:div w:id="334847552">
              <w:marLeft w:val="0"/>
              <w:marRight w:val="0"/>
              <w:marTop w:val="0"/>
              <w:marBottom w:val="0"/>
              <w:divBdr>
                <w:top w:val="none" w:sz="0" w:space="0" w:color="auto"/>
                <w:left w:val="none" w:sz="0" w:space="0" w:color="auto"/>
                <w:bottom w:val="none" w:sz="0" w:space="0" w:color="auto"/>
                <w:right w:val="none" w:sz="0" w:space="0" w:color="auto"/>
              </w:divBdr>
              <w:divsChild>
                <w:div w:id="948124009">
                  <w:marLeft w:val="0"/>
                  <w:marRight w:val="0"/>
                  <w:marTop w:val="646"/>
                  <w:marBottom w:val="0"/>
                  <w:divBdr>
                    <w:top w:val="none" w:sz="0" w:space="0" w:color="auto"/>
                    <w:left w:val="none" w:sz="0" w:space="0" w:color="auto"/>
                    <w:bottom w:val="none" w:sz="0" w:space="0" w:color="auto"/>
                    <w:right w:val="none" w:sz="0" w:space="0" w:color="auto"/>
                  </w:divBdr>
                  <w:divsChild>
                    <w:div w:id="657423207">
                      <w:marLeft w:val="0"/>
                      <w:marRight w:val="0"/>
                      <w:marTop w:val="0"/>
                      <w:marBottom w:val="0"/>
                      <w:divBdr>
                        <w:top w:val="none" w:sz="0" w:space="0" w:color="auto"/>
                        <w:left w:val="none" w:sz="0" w:space="0" w:color="auto"/>
                        <w:bottom w:val="none" w:sz="0" w:space="0" w:color="auto"/>
                        <w:right w:val="none" w:sz="0" w:space="0" w:color="auto"/>
                      </w:divBdr>
                      <w:divsChild>
                        <w:div w:id="1283196172">
                          <w:marLeft w:val="0"/>
                          <w:marRight w:val="0"/>
                          <w:marTop w:val="0"/>
                          <w:marBottom w:val="0"/>
                          <w:divBdr>
                            <w:top w:val="none" w:sz="0" w:space="0" w:color="auto"/>
                            <w:left w:val="none" w:sz="0" w:space="0" w:color="auto"/>
                            <w:bottom w:val="none" w:sz="0" w:space="0" w:color="auto"/>
                            <w:right w:val="none" w:sz="0" w:space="0" w:color="auto"/>
                          </w:divBdr>
                          <w:divsChild>
                            <w:div w:id="1674144857">
                              <w:marLeft w:val="0"/>
                              <w:marRight w:val="0"/>
                              <w:marTop w:val="0"/>
                              <w:marBottom w:val="0"/>
                              <w:divBdr>
                                <w:top w:val="none" w:sz="0" w:space="0" w:color="auto"/>
                                <w:left w:val="none" w:sz="0" w:space="0" w:color="auto"/>
                                <w:bottom w:val="none" w:sz="0" w:space="0" w:color="auto"/>
                                <w:right w:val="none" w:sz="0" w:space="0" w:color="auto"/>
                              </w:divBdr>
                              <w:divsChild>
                                <w:div w:id="962928775">
                                  <w:marLeft w:val="0"/>
                                  <w:marRight w:val="0"/>
                                  <w:marTop w:val="0"/>
                                  <w:marBottom w:val="0"/>
                                  <w:divBdr>
                                    <w:top w:val="none" w:sz="0" w:space="0" w:color="auto"/>
                                    <w:left w:val="none" w:sz="0" w:space="0" w:color="auto"/>
                                    <w:bottom w:val="none" w:sz="0" w:space="0" w:color="auto"/>
                                    <w:right w:val="none" w:sz="0" w:space="0" w:color="auto"/>
                                  </w:divBdr>
                                  <w:divsChild>
                                    <w:div w:id="609360272">
                                      <w:marLeft w:val="0"/>
                                      <w:marRight w:val="0"/>
                                      <w:marTop w:val="0"/>
                                      <w:marBottom w:val="240"/>
                                      <w:divBdr>
                                        <w:top w:val="none" w:sz="0" w:space="0" w:color="auto"/>
                                        <w:left w:val="none" w:sz="0" w:space="0" w:color="auto"/>
                                        <w:bottom w:val="none" w:sz="0" w:space="0" w:color="auto"/>
                                        <w:right w:val="none" w:sz="0" w:space="0" w:color="auto"/>
                                      </w:divBdr>
                                      <w:divsChild>
                                        <w:div w:id="60063113">
                                          <w:marLeft w:val="0"/>
                                          <w:marRight w:val="0"/>
                                          <w:marTop w:val="600"/>
                                          <w:marBottom w:val="0"/>
                                          <w:divBdr>
                                            <w:top w:val="none" w:sz="0" w:space="0" w:color="auto"/>
                                            <w:left w:val="none" w:sz="0" w:space="0" w:color="auto"/>
                                            <w:bottom w:val="none" w:sz="0" w:space="0" w:color="auto"/>
                                            <w:right w:val="none" w:sz="0" w:space="0" w:color="auto"/>
                                          </w:divBdr>
                                          <w:divsChild>
                                            <w:div w:id="1645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87845">
      <w:bodyDiv w:val="1"/>
      <w:marLeft w:val="0"/>
      <w:marRight w:val="0"/>
      <w:marTop w:val="0"/>
      <w:marBottom w:val="0"/>
      <w:divBdr>
        <w:top w:val="none" w:sz="0" w:space="0" w:color="auto"/>
        <w:left w:val="none" w:sz="0" w:space="0" w:color="auto"/>
        <w:bottom w:val="none" w:sz="0" w:space="0" w:color="auto"/>
        <w:right w:val="none" w:sz="0" w:space="0" w:color="auto"/>
      </w:divBdr>
      <w:divsChild>
        <w:div w:id="1071192398">
          <w:marLeft w:val="0"/>
          <w:marRight w:val="0"/>
          <w:marTop w:val="100"/>
          <w:marBottom w:val="240"/>
          <w:divBdr>
            <w:top w:val="none" w:sz="0" w:space="0" w:color="auto"/>
            <w:left w:val="none" w:sz="0" w:space="0" w:color="auto"/>
            <w:bottom w:val="none" w:sz="0" w:space="0" w:color="auto"/>
            <w:right w:val="none" w:sz="0" w:space="0" w:color="auto"/>
          </w:divBdr>
          <w:divsChild>
            <w:div w:id="253362258">
              <w:marLeft w:val="0"/>
              <w:marRight w:val="0"/>
              <w:marTop w:val="0"/>
              <w:marBottom w:val="0"/>
              <w:divBdr>
                <w:top w:val="none" w:sz="0" w:space="0" w:color="auto"/>
                <w:left w:val="none" w:sz="0" w:space="0" w:color="auto"/>
                <w:bottom w:val="none" w:sz="0" w:space="0" w:color="auto"/>
                <w:right w:val="none" w:sz="0" w:space="0" w:color="auto"/>
              </w:divBdr>
              <w:divsChild>
                <w:div w:id="1233811451">
                  <w:marLeft w:val="0"/>
                  <w:marRight w:val="0"/>
                  <w:marTop w:val="646"/>
                  <w:marBottom w:val="0"/>
                  <w:divBdr>
                    <w:top w:val="none" w:sz="0" w:space="0" w:color="auto"/>
                    <w:left w:val="none" w:sz="0" w:space="0" w:color="auto"/>
                    <w:bottom w:val="none" w:sz="0" w:space="0" w:color="auto"/>
                    <w:right w:val="none" w:sz="0" w:space="0" w:color="auto"/>
                  </w:divBdr>
                  <w:divsChild>
                    <w:div w:id="1831675738">
                      <w:marLeft w:val="0"/>
                      <w:marRight w:val="0"/>
                      <w:marTop w:val="0"/>
                      <w:marBottom w:val="0"/>
                      <w:divBdr>
                        <w:top w:val="none" w:sz="0" w:space="0" w:color="auto"/>
                        <w:left w:val="none" w:sz="0" w:space="0" w:color="auto"/>
                        <w:bottom w:val="none" w:sz="0" w:space="0" w:color="auto"/>
                        <w:right w:val="none" w:sz="0" w:space="0" w:color="auto"/>
                      </w:divBdr>
                      <w:divsChild>
                        <w:div w:id="509417323">
                          <w:marLeft w:val="0"/>
                          <w:marRight w:val="0"/>
                          <w:marTop w:val="0"/>
                          <w:marBottom w:val="0"/>
                          <w:divBdr>
                            <w:top w:val="none" w:sz="0" w:space="0" w:color="auto"/>
                            <w:left w:val="none" w:sz="0" w:space="0" w:color="auto"/>
                            <w:bottom w:val="none" w:sz="0" w:space="0" w:color="auto"/>
                            <w:right w:val="none" w:sz="0" w:space="0" w:color="auto"/>
                          </w:divBdr>
                          <w:divsChild>
                            <w:div w:id="2094744608">
                              <w:marLeft w:val="0"/>
                              <w:marRight w:val="0"/>
                              <w:marTop w:val="0"/>
                              <w:marBottom w:val="0"/>
                              <w:divBdr>
                                <w:top w:val="none" w:sz="0" w:space="0" w:color="auto"/>
                                <w:left w:val="none" w:sz="0" w:space="0" w:color="auto"/>
                                <w:bottom w:val="none" w:sz="0" w:space="0" w:color="auto"/>
                                <w:right w:val="none" w:sz="0" w:space="0" w:color="auto"/>
                              </w:divBdr>
                              <w:divsChild>
                                <w:div w:id="313804208">
                                  <w:marLeft w:val="0"/>
                                  <w:marRight w:val="0"/>
                                  <w:marTop w:val="0"/>
                                  <w:marBottom w:val="0"/>
                                  <w:divBdr>
                                    <w:top w:val="none" w:sz="0" w:space="0" w:color="auto"/>
                                    <w:left w:val="none" w:sz="0" w:space="0" w:color="auto"/>
                                    <w:bottom w:val="none" w:sz="0" w:space="0" w:color="auto"/>
                                    <w:right w:val="none" w:sz="0" w:space="0" w:color="auto"/>
                                  </w:divBdr>
                                  <w:divsChild>
                                    <w:div w:id="1614556964">
                                      <w:marLeft w:val="0"/>
                                      <w:marRight w:val="0"/>
                                      <w:marTop w:val="0"/>
                                      <w:marBottom w:val="240"/>
                                      <w:divBdr>
                                        <w:top w:val="none" w:sz="0" w:space="0" w:color="auto"/>
                                        <w:left w:val="none" w:sz="0" w:space="0" w:color="auto"/>
                                        <w:bottom w:val="none" w:sz="0" w:space="0" w:color="auto"/>
                                        <w:right w:val="none" w:sz="0" w:space="0" w:color="auto"/>
                                      </w:divBdr>
                                      <w:divsChild>
                                        <w:div w:id="479619979">
                                          <w:marLeft w:val="-120"/>
                                          <w:marRight w:val="0"/>
                                          <w:marTop w:val="0"/>
                                          <w:marBottom w:val="0"/>
                                          <w:divBdr>
                                            <w:top w:val="none" w:sz="0" w:space="0" w:color="auto"/>
                                            <w:left w:val="none" w:sz="0" w:space="0" w:color="auto"/>
                                            <w:bottom w:val="none" w:sz="0" w:space="0" w:color="auto"/>
                                            <w:right w:val="none" w:sz="0" w:space="0" w:color="auto"/>
                                          </w:divBdr>
                                          <w:divsChild>
                                            <w:div w:id="1996716091">
                                              <w:marLeft w:val="0"/>
                                              <w:marRight w:val="0"/>
                                              <w:marTop w:val="0"/>
                                              <w:marBottom w:val="0"/>
                                              <w:divBdr>
                                                <w:top w:val="none" w:sz="0" w:space="0" w:color="auto"/>
                                                <w:left w:val="none" w:sz="0" w:space="0" w:color="auto"/>
                                                <w:bottom w:val="none" w:sz="0" w:space="0" w:color="auto"/>
                                                <w:right w:val="none" w:sz="0" w:space="0" w:color="auto"/>
                                              </w:divBdr>
                                              <w:divsChild>
                                                <w:div w:id="3709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03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C94A7-F81A-4D01-8134-137B0646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USGA</Company>
  <LinksUpToDate>false</LinksUpToDate>
  <CharactersWithSpaces>12015</CharactersWithSpaces>
  <SharedDoc>false</SharedDoc>
  <HLinks>
    <vt:vector size="48" baseType="variant">
      <vt:variant>
        <vt:i4>2555943</vt:i4>
      </vt:variant>
      <vt:variant>
        <vt:i4>15</vt:i4>
      </vt:variant>
      <vt:variant>
        <vt:i4>0</vt:i4>
      </vt:variant>
      <vt:variant>
        <vt:i4>5</vt:i4>
      </vt:variant>
      <vt:variant>
        <vt:lpwstr>http://www.usga.org/Media-Center/Media-Center/</vt:lpwstr>
      </vt:variant>
      <vt:variant>
        <vt:lpwstr/>
      </vt:variant>
      <vt:variant>
        <vt:i4>5832803</vt:i4>
      </vt:variant>
      <vt:variant>
        <vt:i4>12</vt:i4>
      </vt:variant>
      <vt:variant>
        <vt:i4>0</vt:i4>
      </vt:variant>
      <vt:variant>
        <vt:i4>5</vt:i4>
      </vt:variant>
      <vt:variant>
        <vt:lpwstr>mailto:clance@usga.org</vt:lpwstr>
      </vt:variant>
      <vt:variant>
        <vt:lpwstr/>
      </vt:variant>
      <vt:variant>
        <vt:i4>3670037</vt:i4>
      </vt:variant>
      <vt:variant>
        <vt:i4>9</vt:i4>
      </vt:variant>
      <vt:variant>
        <vt:i4>0</vt:i4>
      </vt:variant>
      <vt:variant>
        <vt:i4>5</vt:i4>
      </vt:variant>
      <vt:variant>
        <vt:lpwstr>mailto:jmummert@usga.org</vt:lpwstr>
      </vt:variant>
      <vt:variant>
        <vt:lpwstr/>
      </vt:variant>
      <vt:variant>
        <vt:i4>5308465</vt:i4>
      </vt:variant>
      <vt:variant>
        <vt:i4>6</vt:i4>
      </vt:variant>
      <vt:variant>
        <vt:i4>0</vt:i4>
      </vt:variant>
      <vt:variant>
        <vt:i4>5</vt:i4>
      </vt:variant>
      <vt:variant>
        <vt:lpwstr>http://2014.usopen.com/women/en_US/news/articles/2014-06-22/201406221403478322294.html</vt:lpwstr>
      </vt:variant>
      <vt:variant>
        <vt:lpwstr/>
      </vt:variant>
      <vt:variant>
        <vt:i4>2293862</vt:i4>
      </vt:variant>
      <vt:variant>
        <vt:i4>3</vt:i4>
      </vt:variant>
      <vt:variant>
        <vt:i4>0</vt:i4>
      </vt:variant>
      <vt:variant>
        <vt:i4>5</vt:i4>
      </vt:variant>
      <vt:variant>
        <vt:lpwstr>http://www.lancastercc.com</vt:lpwstr>
      </vt:variant>
      <vt:variant>
        <vt:lpwstr/>
      </vt:variant>
      <vt:variant>
        <vt:i4>6357066</vt:i4>
      </vt:variant>
      <vt:variant>
        <vt:i4>0</vt:i4>
      </vt:variant>
      <vt:variant>
        <vt:i4>0</vt:i4>
      </vt:variant>
      <vt:variant>
        <vt:i4>5</vt:i4>
      </vt:variant>
      <vt:variant>
        <vt:lpwstr>http://www.uswomensopen.com</vt:lpwstr>
      </vt:variant>
      <vt:variant>
        <vt:lpwstr/>
      </vt:variant>
      <vt:variant>
        <vt:i4>7405585</vt:i4>
      </vt:variant>
      <vt:variant>
        <vt:i4>2048</vt:i4>
      </vt:variant>
      <vt:variant>
        <vt:i4>1025</vt:i4>
      </vt:variant>
      <vt:variant>
        <vt:i4>1</vt:i4>
      </vt:variant>
      <vt:variant>
        <vt:lpwstr>2015-US-WOMENS-OPEN_LOGO</vt:lpwstr>
      </vt:variant>
      <vt:variant>
        <vt:lpwstr/>
      </vt:variant>
      <vt:variant>
        <vt:i4>5636123</vt:i4>
      </vt:variant>
      <vt:variant>
        <vt:i4>-1</vt:i4>
      </vt:variant>
      <vt:variant>
        <vt:i4>1026</vt:i4>
      </vt:variant>
      <vt:variant>
        <vt:i4>1</vt:i4>
      </vt:variant>
      <vt:variant>
        <vt:lpwstr>USGA_Logo_4c_300dpi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Kowalski</dc:creator>
  <cp:lastModifiedBy>Stephanie DiPilla</cp:lastModifiedBy>
  <cp:revision>5</cp:revision>
  <cp:lastPrinted>2016-08-11T15:23:00Z</cp:lastPrinted>
  <dcterms:created xsi:type="dcterms:W3CDTF">2016-08-11T15:18:00Z</dcterms:created>
  <dcterms:modified xsi:type="dcterms:W3CDTF">2016-08-11T15:25:00Z</dcterms:modified>
</cp:coreProperties>
</file>